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I. ENFORCEMENT OF TRAFFIC LAWS</w:t>
      </w:r>
    </w:p>
    <w:p w:rsidR="003F3435" w:rsidRDefault="0032493E">
      <w:pPr>
        <w:spacing w:line="480" w:lineRule="auto"/>
        <w:jc w:val="center"/>
      </w:pPr>
      <w:r>
        <w:t xml:space="preserve">CHAPTER 720. MISCELLANEOUS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720.001.</w:t>
      </w:r>
      <w:r xml:space="preserve">
        <w:t> </w:t>
      </w:r>
      <w:r xml:space="preserve">
        <w:t> </w:t>
      </w:r>
      <w:r>
        <w:t xml:space="preserve">BADGE OF SHERIFF, CONSTABLE, OR DEPUTY.  (a)  A sheriff, constable, or deputy sheriff or deputy constable may not arrest or accost a person for driving a motor vehicle on a highway in violation of a law relating to motor vehicles unless the sheriff, constable, or deputy displays a badge showing the sheriff's, constable's, or deputy's title.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commits an offense if the person violates this section.  An offense under this section is a misdemeanor punishable in the same manner as an offense under Section </w:t>
      </w:r>
      <w:r>
        <w:t xml:space="preserve">86.011</w:t>
      </w:r>
      <w:r>
        <w:t xml:space="preserve">, Local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officer charged by law to take or prosecute a complaint under this section shall be removed from office if the officer refuses to do so.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720.002.</w:t>
      </w:r>
      <w:r xml:space="preserve">
        <w:t> </w:t>
      </w:r>
      <w:r xml:space="preserve">
        <w:t> </w:t>
      </w:r>
      <w:r>
        <w:t xml:space="preserve">PROHIBITION ON TRAFFIC-OFFENSE QUOTAS.  (a)  A political subdivision or an agency of this state may not establish or maintain, formally or informally, a plan to evaluate, promote, compensate, or discipline: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peace officer according to the officer's issuance of a predetermined or specified number of any type or combination of types of traffic citations;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justice of the peace or a judge of a county court, statutory county court, municipal court, or municipal court of record according to the amount of money the justice or judge collects from persons convicted of a traffic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political subdivision or an agency of this state may not require or suggest to a peace officer, a justice of the peace, or a judge of a county court, statutory county court, municipal court, or municipal court of record: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that the peace officer is required or expected to issue a predetermined or specified number of any type or combination of types of traffic citations within a specified period;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that the justice or judge is required or expected to collect a predetermined amount of money from persons convicted of a traffic offense within a specified period.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Repealed by Acts 2009, 81st Leg., R.S., Ch. 737, Sec. 1, eff. June 19, 2009.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This section does not prohibit a municipality from obtaining budgetary information from a municipal court or a municipal court of record, including an estimate of the amount of money the court anticipates will be collected in a budget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violation of this section by an elected official is misconduct and a ground for removal from office.  A violation of this section by a person who is not an elected official is a ground for removal from the person's position.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"Conviction" means the rendition of an order by a court imposing a punishment of incarceration or a fine.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"Traffic offense" means an offense under: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Chapter </w:t>
      </w:r>
      <w:r>
        <w:t xml:space="preserve">521</w:t>
      </w:r>
      <w:r>
        <w:t xml:space="preserve">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Subtitle C.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737 (S.B. </w:t>
      </w:r>
      <w:hyperlink w:docLocation="table" r:id="rId14">
        <w:r>
          <w:rPr>
            <w:rStyle w:val="Hyperlink"/>
          </w:rPr>
          <w:t>420</w:t>
        </w:r>
      </w:hyperlink>
      <w:r>
        <w:t xml:space="preserve">), Sec. 1, eff. June 19,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0420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