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J. MISCELLANEOUS PROVISIONS</w:t>
      </w:r>
    </w:p>
    <w:p w:rsidR="003F3435" w:rsidRDefault="0032493E">
      <w:pPr>
        <w:spacing w:line="480" w:lineRule="auto"/>
        <w:jc w:val="center"/>
      </w:pPr>
      <w:r>
        <w:t xml:space="preserve">CHAPTER 723. TEXAS TRAFFIC SAFETY ACT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723.001.</w:t>
      </w:r>
      <w:r xml:space="preserve">
        <w:t> </w:t>
      </w:r>
      <w:r xml:space="preserve">
        <w:t> </w:t>
      </w:r>
      <w:r>
        <w:t xml:space="preserve">SHORT TITLE.  This chapter may be cited as the Texas Traffic Safety Act.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723.002.</w:t>
      </w:r>
      <w:r xml:space="preserve">
        <w:t> </w:t>
      </w:r>
      <w:r xml:space="preserve">
        <w:t> </w:t>
      </w:r>
      <w:r>
        <w:t xml:space="preserve">GOVERNMENTAL PURPOSE.  The establishment, development, and maintenance of a traffic safety program is a vital governmental purpose and function of the state and its legal and political subdivisions.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723.003.</w:t>
      </w:r>
      <w:r xml:space="preserve">
        <w:t> </w:t>
      </w:r>
      <w:r xml:space="preserve">
        <w:t> </w:t>
      </w:r>
      <w:r>
        <w:t xml:space="preserve">TRAFFIC SAFETY FUND ACCOUNT.  (a)  The traffic safety fund account is an account in the general revenue fund.  Money received from any source to implement this chapter shall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deposited to the credit of the traffic safety fund account;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spent with other state money spent to implement this chapter in the manner in which the other state money is spent.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payment from the traffic safety fund account shall be made in compliance with this chapter and rules adopted by the governor.</w:t>
      </w:r>
    </w:p>
    <w:p w:rsidR="003F3435" w:rsidRDefault="0032493E">
      <w:pPr>
        <w:spacing w:line="480" w:lineRule="auto"/>
        <w:jc w:val="both"/>
      </w:pPr>
      <w:r>
        <w:t xml:space="preserve">Added by Acts 1997, 75th Leg., ch. 165, Sec. 30.162,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PREPARATION AND ADMINISTRATION OF TRAFFIC SAFETY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723.011.</w:t>
      </w:r>
      <w:r xml:space="preserve">
        <w:t> </w:t>
      </w:r>
      <w:r xml:space="preserve">
        <w:t> </w:t>
      </w:r>
      <w:r>
        <w:t xml:space="preserve">GOVERNOR'S RESPONSIBILITY FOR PROGRAM.  (a)</w:t>
      </w:r>
      <w:r xml:space="preserve">
        <w:t> </w:t>
      </w:r>
      <w:r xml:space="preserve">
        <w:t> </w:t>
      </w:r>
      <w:r>
        <w:t xml:space="preserve">The governor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prepare and administer a statewide traffic safety program designed to reduce traffic collisions and the death, injury, and property damage that result from traffic collisions;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adopt rules for the administration of this chapter, including rules, procedures, and policy statements governing grants-in-aid and contractual relations;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receive on the state's behalf for the implementation of this chapter money made available by the United States under federal law;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allocate money appropriated by the legislature in the General Appropriations Act to implement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preparing and administering the traffic safety program, the governor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cooperate with the United States or a legal or political subdivision of the state in research designed to aid in traffic safety;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accept federal money available for research relating to traffic safety;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employ personnel necessary to administer this chapter.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709 (H.B. </w:t>
      </w:r>
      <w:hyperlink w:docLocation="table" r:id="rId14">
        <w:r>
          <w:rPr>
            <w:rStyle w:val="Hyperlink"/>
          </w:rPr>
          <w:t>2190</w:t>
        </w:r>
      </w:hyperlink>
      <w:r>
        <w:t xml:space="preserve">), Sec. 102,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723.012.</w:t>
      </w:r>
      <w:r xml:space="preserve">
        <w:t> </w:t>
      </w:r>
      <w:r xml:space="preserve">
        <w:t> </w:t>
      </w:r>
      <w:r>
        <w:t xml:space="preserve">TRAFFIC SAFETY PROGRAM.</w:t>
      </w:r>
      <w:r xml:space="preserve">
        <w:t> </w:t>
      </w:r>
      <w:r xml:space="preserve">
        <w:t> </w:t>
      </w:r>
      <w:r>
        <w:t xml:space="preserve">The statewide traffic safety program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driver education and training program administered by the governor through appropriate agencies that complies with Section </w:t>
      </w:r>
      <w:r>
        <w:t xml:space="preserve">723.013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plans for improving: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driver licensing;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collision records;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vehicle inspection, registration, and titling;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traffic engineering;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personnel;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police traffic supervision;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traffic courts;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(H)</w:t>
      </w:r>
      <w:r xml:space="preserve">
        <w:t> </w:t>
      </w:r>
      <w:r xml:space="preserve">
        <w:t> </w:t>
      </w:r>
      <w:r>
        <w:t xml:space="preserve">highway design;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uniform traffic laws;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plans for local traffic safety programs by legal and political subdivisions of this state that may be implemented if the programs: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are approved by the governor;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conform with uniform standards adopted under the Highway Safety Act of 1966 (23 U.S.C. Sec. 401 et seq.).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709 (H.B. </w:t>
      </w:r>
      <w:hyperlink w:docLocation="table" r:id="rId15">
        <w:r>
          <w:rPr>
            <w:rStyle w:val="Hyperlink"/>
          </w:rPr>
          <w:t>2190</w:t>
        </w:r>
      </w:hyperlink>
      <w:r>
        <w:t xml:space="preserve">), Sec. 103,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723.013.</w:t>
      </w:r>
      <w:r xml:space="preserve">
        <w:t> </w:t>
      </w:r>
      <w:r xml:space="preserve">
        <w:t> </w:t>
      </w:r>
      <w:r>
        <w:t xml:space="preserve">DRIVER EDUCATION AND TRAINING PROGRAM.  (a)</w:t>
      </w:r>
      <w:r xml:space="preserve">
        <w:t> </w:t>
      </w:r>
      <w:r xml:space="preserve">
        <w:t> </w:t>
      </w:r>
      <w:r>
        <w:t xml:space="preserve">The statewide driver education and training program required by Section </w:t>
      </w:r>
      <w:r>
        <w:t xml:space="preserve">723.012</w:t>
      </w:r>
      <w:r>
        <w:t xml:space="preserve"> shall provide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rules that permit controlled innovation and experimentation and that set minimum standards for: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classroom instruction;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driving skills training;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instructor qualifications;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program content;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supplementary materials and equipment;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method for continuing evaluation of approved driver education and training programs to identify the practices most effective in preventing traffic collisions;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contracts between the governing bodies of centrally located independent school districts or other appropriate public or private agencies and the state to provide approved driver education and training programs.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Instruction offered under a contract authorized by this section must be offered to any applicant who is over 15 years of age.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709 (H.B. </w:t>
      </w:r>
      <w:hyperlink w:docLocation="table" r:id="rId16">
        <w:r>
          <w:rPr>
            <w:rStyle w:val="Hyperlink"/>
          </w:rPr>
          <w:t>2190</w:t>
        </w:r>
      </w:hyperlink>
      <w:r>
        <w:t xml:space="preserve">), Sec. 104,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723.014.</w:t>
      </w:r>
      <w:r xml:space="preserve">
        <w:t> </w:t>
      </w:r>
      <w:r xml:space="preserve">
        <w:t> </w:t>
      </w:r>
      <w:r>
        <w:t xml:space="preserve">COOPERATION OF STATE AGENCIES, OFFICERS, AND EMPLOYEES.  On the governor's request, a state agency or institution, state officer, or state employee shall cooperate in an activity of the state that is consistent with: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this chapter;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agency's, institution's, officer's, or employee's official functions.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723.015.</w:t>
      </w:r>
      <w:r xml:space="preserve">
        <w:t> </w:t>
      </w:r>
      <w:r xml:space="preserve">
        <w:t> </w:t>
      </w:r>
      <w:r>
        <w:t xml:space="preserve">PARTICIPATION IN PROGRAM BY LEGAL OR POLITICAL SUBDIVISION.  A legal or political subdivision of this state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cooperate and contract with the state, another legal or political subdivision of this state, or a private person in establishing, developing, and maintaining a statewide traffic safety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spend money from any source for an activity related to performing a part of the traffic safety program;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contract and pay for a personal service or property to be used in the traffic safety program or for an activity related to the program.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GIFTS, GRANTS, DONATIONS, GRANTS-IN-AID, AND PAYMENTS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723.031.</w:t>
      </w:r>
      <w:r xml:space="preserve">
        <w:t> </w:t>
      </w:r>
      <w:r xml:space="preserve">
        <w:t> </w:t>
      </w:r>
      <w:r>
        <w:t xml:space="preserve">GIFTS, GRANTS, AND DONATIONS.  To implement this chapter, the state may accept and spend a gift, grant, or donation of money or other property from a private source.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723.032.</w:t>
      </w:r>
      <w:r xml:space="preserve">
        <w:t> </w:t>
      </w:r>
      <w:r xml:space="preserve">
        <w:t> </w:t>
      </w:r>
      <w:r>
        <w:t xml:space="preserve">GRANTS-IN-AID AND CONTRACTUAL PAYMENTS.  (a)  A grant-in-aid for a governmental purpose or a contractual payment may be made to a legal or political subdivision of this state to carry out a duty or activity that is part of the statewide traffic safety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implement this chapter, a contractual payment may be made from money in the traffic safety fund account for a service rendered or property furnished by a private person or an agency that is not a legal or political subdivision of this state.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  Amended by Acts 1997, 75th Leg., ch. 165, Sec. 30.162, eff. Sept. 1,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2190F.HTM" TargetMode="External" Id="rId14" /><Relationship Type="http://schemas.openxmlformats.org/officeDocument/2006/relationships/hyperlink" Target="http://capitol.texas.gov/tlodocs/88R/billtext/html/HB02190F.HTM" TargetMode="External" Id="rId15" /><Relationship Type="http://schemas.openxmlformats.org/officeDocument/2006/relationships/hyperlink" Target="http://capitol.texas.gov/tlodocs/88R/billtext/html/HB02190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