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TRANSPORTATION CODE</w:t>
      </w:r>
    </w:p>
    <w:p w:rsidR="003F3435" w:rsidRDefault="0032493E">
      <w:pPr>
        <w:spacing w:line="480" w:lineRule="auto"/>
        <w:jc w:val="center"/>
      </w:pPr>
      <w:r>
        <w:t xml:space="preserve">TITLE 7. VEHICLES AND TRAFFIC</w:t>
      </w:r>
    </w:p>
    <w:p w:rsidR="003F3435" w:rsidRDefault="0032493E">
      <w:pPr>
        <w:spacing w:line="480" w:lineRule="auto"/>
        <w:jc w:val="center"/>
      </w:pPr>
      <w:r>
        <w:t xml:space="preserve">SUBTITLE J. MISCELLANEOUS PROVISIONS</w:t>
      </w:r>
    </w:p>
    <w:p w:rsidR="003F3435" w:rsidRDefault="0032493E">
      <w:pPr>
        <w:spacing w:line="480" w:lineRule="auto"/>
        <w:jc w:val="center"/>
      </w:pPr>
      <w:r>
        <w:t xml:space="preserve">CHAPTER 728. SALE OR TRANSFER OF MOTOR VEHICLES AND MASTER KEYS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A. SALE OF MOTOR VEHICLES ON CONSECUTIVE SATURDAY AND SUNDAY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728.001.</w:t>
      </w:r>
      <w:r xml:space="preserve">
        <w:t> </w:t>
      </w:r>
      <w:r xml:space="preserve">
        <w:t> </w:t>
      </w:r>
      <w:r>
        <w:t xml:space="preserve">DEFINITIONS.  In this subchapter: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"Employer" means a person who: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owns a facility that sells or offers for sale motor vehicles;  or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has the authority to determine the hours of operation of the facility.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"Motor vehicle" means a self-propelled vehicle of two or more wheels designed to transport a person or property.</w:t>
      </w:r>
    </w:p>
    <w:p w:rsidR="003F3435" w:rsidRDefault="0032493E">
      <w:pPr>
        <w:spacing w:line="480" w:lineRule="auto"/>
        <w:jc w:val="both"/>
      </w:pPr>
      <w:r>
        <w:t xml:space="preserve">Acts 1995, 74th Leg., ch. 165, Sec. 1, eff. Sept. 1, 1995.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728.002.</w:t>
      </w:r>
      <w:r xml:space="preserve">
        <w:t> </w:t>
      </w:r>
      <w:r xml:space="preserve">
        <w:t> </w:t>
      </w:r>
      <w:r>
        <w:t xml:space="preserve">SALE OF MOTOR VEHICLES ON CONSECUTIVE SATURDAY AND SUNDAY PROHIBITED.  (a)  A person may not, on consecutive days of Saturday and Sunday: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sell or offer for sale a motor vehicle; 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compel an employee to sell or offer for sale a motor vehicle.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Each day a motor vehicle is offered for sale is a separate violation.  Each sale of a motor vehicle is a separate violation.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This section does not prohibit the occasional sale of a motor vehicle by a person not in a business that includes the sale of motor vehicles.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(d)</w:t>
      </w:r>
      <w:r xml:space="preserve">
        <w:t> </w:t>
      </w:r>
      <w:r xml:space="preserve">
        <w:t> </w:t>
      </w:r>
      <w:r>
        <w:t xml:space="preserve">This section does not prohibit the quoting of a price for a motor home or tow truck at a show or exhibition described by Section </w:t>
      </w:r>
      <w:r>
        <w:t xml:space="preserve">2301.358</w:t>
      </w:r>
      <w:r>
        <w:t xml:space="preserve">, Occupations Code.</w:t>
      </w:r>
    </w:p>
    <w:p w:rsidR="003F3435" w:rsidRDefault="0032493E">
      <w:pPr>
        <w:spacing w:line="480" w:lineRule="auto"/>
        <w:jc w:val="both"/>
      </w:pPr>
      <w:r>
        <w:t xml:space="preserve">Acts 1995, 74th Leg., ch. 165, Sec. 1, eff. Sept. 1, 1995.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2011, 82nd Leg., R.S., Ch. 553 (H.B. </w:t>
      </w:r>
      <w:hyperlink w:docLocation="table" r:id="rId14">
        <w:r>
          <w:rPr>
            <w:rStyle w:val="Hyperlink"/>
          </w:rPr>
          <w:t>2872</w:t>
        </w:r>
      </w:hyperlink>
      <w:r>
        <w:t xml:space="preserve">), Sec. 1, eff. June 17, 2011.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2013, 83rd Leg., R.S., Ch. 1135 (H.B. </w:t>
      </w:r>
      <w:hyperlink w:docLocation="table" r:id="rId15">
        <w:r>
          <w:rPr>
            <w:rStyle w:val="Hyperlink"/>
          </w:rPr>
          <w:t>2741</w:t>
        </w:r>
      </w:hyperlink>
      <w:r>
        <w:t xml:space="preserve">), Sec. 132, eff. September 1, 2013.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728.003.</w:t>
      </w:r>
      <w:r xml:space="preserve">
        <w:t> </w:t>
      </w:r>
      <w:r xml:space="preserve">
        <w:t> </w:t>
      </w:r>
      <w:r>
        <w:t xml:space="preserve">CIVIL PENALTY.  (a)  A person who violates Section </w:t>
      </w:r>
      <w:r>
        <w:t xml:space="preserve">728.002</w:t>
      </w:r>
      <w:r>
        <w:t xml:space="preserve"> is subject to a civil penalty of: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not more than $500 for a first violation;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not less than $500 or more than $1,000 for a second violation; 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not less than $1,000 or more than $5,000 for a third or subsequent violation.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On a finding by the trier of fact that a person wilfully or with conscious indifference violated Section </w:t>
      </w:r>
      <w:r>
        <w:t xml:space="preserve">728.002</w:t>
      </w:r>
      <w:r>
        <w:t xml:space="preserve">, the court may triple the penalty due under Subsection (a).</w:t>
      </w:r>
    </w:p>
    <w:p w:rsidR="003F3435" w:rsidRDefault="0032493E">
      <w:pPr>
        <w:spacing w:line="480" w:lineRule="auto"/>
        <w:jc w:val="both"/>
      </w:pPr>
      <w:r>
        <w:t xml:space="preserve">Acts 1995, 74th Leg., ch. 165, Sec. 1, eff. Sept. 1, 1995.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728.004.</w:t>
      </w:r>
      <w:r xml:space="preserve">
        <w:t> </w:t>
      </w:r>
      <w:r xml:space="preserve">
        <w:t> </w:t>
      </w:r>
      <w:r>
        <w:t xml:space="preserve">ENFORCEMENT;  INJUNCTION.  (a)  The attorney general or a district, county, or municipal attorney may enforce this subchapter and may bring an action in the county in which a violation is alleged.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operation of a business in violation of this subchapter is a public nuisance.  Any person, including a district, county, or municipal attorney, may obtain an injunction restraining a violation of this subchapter.  A person who obtains an injunction under this subsection may recover the person's costs, including court costs and reasonable attorney's fees.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An employer is a necessary party to an action brought against its employee under this section.  An employer is strictly liable for all amounts, including civil penalties, damages, costs, and attorney's fees, resulting from a violation of Section </w:t>
      </w:r>
      <w:r>
        <w:t xml:space="preserve">728.002</w:t>
      </w:r>
      <w:r>
        <w:t xml:space="preserve"> by its employee.</w:t>
      </w:r>
    </w:p>
    <w:p w:rsidR="003F3435" w:rsidRDefault="0032493E">
      <w:pPr>
        <w:spacing w:line="480" w:lineRule="auto"/>
        <w:jc w:val="both"/>
      </w:pPr>
      <w:r>
        <w:t xml:space="preserve">Acts 1995, 74th Leg., ch. 165, Sec. 1, eff. Sept. 1, 1995.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B. SALE OF MASTER KEY FOR MOTOR VEHICLE IGNITIONS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728.011.</w:t>
      </w:r>
      <w:r xml:space="preserve">
        <w:t> </w:t>
      </w:r>
      <w:r xml:space="preserve">
        <w:t> </w:t>
      </w:r>
      <w:r>
        <w:t xml:space="preserve">SALE OF MASTER KEY FOR MOTOR VEHICLE IGNITIONS.  (a)  A person commits an offense if the person sells or offers to sell a master key knowingly designed to fit the ignition switch on more than one motor vehicle.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An offense under this section is a misdemeanor punishable by a fine of not less than $25 or more than $200.</w:t>
      </w:r>
    </w:p>
    <w:p w:rsidR="003F3435" w:rsidRDefault="0032493E">
      <w:pPr>
        <w:spacing w:line="480" w:lineRule="auto"/>
        <w:jc w:val="both"/>
      </w:pPr>
      <w:r>
        <w:t xml:space="preserve">Acts 1995, 74th Leg., ch. 165, Sec. 1, eff. Sept. 1, 1995.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C. TRANSFER OF OWNERSHIP OF CERTAIN EMERGENCY VEHICLES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728.021.</w:t>
      </w:r>
      <w:r xml:space="preserve">
        <w:t> </w:t>
      </w:r>
      <w:r xml:space="preserve">
        <w:t> </w:t>
      </w:r>
      <w:r>
        <w:t xml:space="preserve">TRANSFER OF OWNERSHIP OF CERTAIN EMERGENCY VEHICLES;  OFFENSE.  (a)  The owner of an authorized emergency vehicle that is used to transport sick or injured persons commits an offense if the owner transfers ownership of the vehicle without: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removing from the vehicle any vehicle equipment, including a light, siren, or device, that under Subtitle C only an authorized emergency vehicle may be equipped with; 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removing or obliterating any emblem or marking on the vehicle that identifies the vehicle as an authorized emergency vehicle.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Subsection (a) does not apply if the owner of the vehicle transfers ownership of the vehicle to a person: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who holds a license as an emergency medical services provider under Chapter </w:t>
      </w:r>
      <w:r>
        <w:t xml:space="preserve">773</w:t>
      </w:r>
      <w:r>
        <w:t xml:space="preserve">, Health and Safety Code;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who is in the business of buying and selling used vehicles in this state and who specializes in authorized emergency vehicles; 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described by Section </w:t>
      </w:r>
      <w:r>
        <w:t xml:space="preserve">541.201</w:t>
      </w:r>
      <w:r>
        <w:t xml:space="preserve"> or a similar person operating in a foreign country.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An offense under this section is a Class C misdemeanor.</w:t>
      </w:r>
    </w:p>
    <w:p w:rsidR="003F3435" w:rsidRDefault="0032493E">
      <w:pPr>
        <w:spacing w:line="480" w:lineRule="auto"/>
        <w:ind w:firstLine="720"/>
        <w:jc w:val="both"/>
      </w:pPr>
      <w:r>
        <w:t xml:space="preserve">(d)</w:t>
      </w:r>
      <w:r xml:space="preserve">
        <w:t> </w:t>
      </w:r>
      <w:r xml:space="preserve">
        <w:t> </w:t>
      </w:r>
      <w:r>
        <w:t xml:space="preserve">In this section: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"Authorized emergency vehicle" has the meaning assigned by Section </w:t>
      </w:r>
      <w:r>
        <w:t xml:space="preserve">541.201</w:t>
      </w:r>
      <w:r>
        <w:t xml:space="preserve">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"Vehicle equipment" has the meaning assigned by Section </w:t>
      </w:r>
      <w:r>
        <w:t xml:space="preserve">547.001</w:t>
      </w:r>
      <w:r>
        <w:t xml:space="preserve">.</w:t>
      </w:r>
    </w:p>
    <w:p w:rsidR="003F3435" w:rsidRDefault="0032493E">
      <w:pPr>
        <w:spacing w:line="480" w:lineRule="auto"/>
        <w:jc w:val="both"/>
      </w:pPr>
      <w:r>
        <w:t xml:space="preserve">Acts 1995, 74th Leg., ch. 165, Sec. 1, eff. Sept. 1, 1995.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728.022.</w:t>
      </w:r>
      <w:r xml:space="preserve">
        <w:t> </w:t>
      </w:r>
      <w:r xml:space="preserve">
        <w:t> </w:t>
      </w:r>
      <w:r>
        <w:t xml:space="preserve">SALE OR TRANSFER OF LAW ENFORCEMENT VEHICLE.  (a)</w:t>
      </w:r>
      <w:r xml:space="preserve">
        <w:t> </w:t>
      </w:r>
      <w:r xml:space="preserve">
        <w:t> </w:t>
      </w:r>
      <w:r>
        <w:t xml:space="preserve">A person may not sell or transfer a marked patrol car or other law enforcement motor vehicle to the public unless the person first removes any equipment or insignia that could mislead a reasonable person to believe that the vehicle is a law enforcement motor vehicle, including any police light, siren, amber warning light, spotlight, grill light, antenna, emblem, outline of an emblem, or emergency vehicle equipment.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person may not sell or transfer a marked patrol car or other law enforcement motor vehicle to a security services contractor who is regulated by the Department of Public Safety and licensed under Chapter </w:t>
      </w:r>
      <w:r>
        <w:t xml:space="preserve">1702</w:t>
      </w:r>
      <w:r>
        <w:t xml:space="preserve">, Occupations Code, unless each emblem or insignia that identifies the vehicle as a law enforcement motor vehicle is removed before the sale or transfer.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A person who sells or transfers a marked patrol car or other law enforcement motor vehicle to the public in violation of this section is liable: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for damages proximately caused by the use of that vehicle during the commission of a crime;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to this state for a civil penalty of $1,000.</w:t>
      </w:r>
    </w:p>
    <w:p w:rsidR="003F3435" w:rsidRDefault="0032493E">
      <w:pPr>
        <w:spacing w:line="480" w:lineRule="auto"/>
        <w:ind w:firstLine="720"/>
        <w:jc w:val="both"/>
      </w:pPr>
      <w:r>
        <w:t xml:space="preserve">(d)</w:t>
      </w:r>
      <w:r xml:space="preserve">
        <w:t> </w:t>
      </w:r>
      <w:r xml:space="preserve">
        <w:t> </w:t>
      </w:r>
      <w:r>
        <w:t xml:space="preserve">The attorney general may bring an action to recover the civil penalty imposed under Subsection (c)(2).</w:t>
      </w:r>
    </w:p>
    <w:p w:rsidR="003F3435" w:rsidRDefault="0032493E">
      <w:pPr>
        <w:spacing w:line="480" w:lineRule="auto"/>
        <w:jc w:val="both"/>
      </w:pPr>
      <w:r>
        <w:t xml:space="preserve">Added by Acts 2017, 85th Leg., R.S., Ch. 1068 (H.B. </w:t>
      </w:r>
      <w:hyperlink w:docLocation="table" r:id="rId16">
        <w:r>
          <w:rPr>
            <w:rStyle w:val="Hyperlink"/>
          </w:rPr>
          <w:t>3223</w:t>
        </w:r>
      </w:hyperlink>
      <w:r>
        <w:t xml:space="preserve">), Sec. 2, eff. September 1, 2017.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2R/billtext/html/HB02872F.HTM" TargetMode="External" Id="rId14" /><Relationship Type="http://schemas.openxmlformats.org/officeDocument/2006/relationships/hyperlink" Target="http://capitol.texas.gov/tlodocs/83R/billtext/html/HB02741F.HTM" TargetMode="External" Id="rId15" /><Relationship Type="http://schemas.openxmlformats.org/officeDocument/2006/relationships/hyperlink" Target="http://capitol.texas.gov/tlodocs/85R/billtext/html/HB03223F.HTM" TargetMode="External" Id="rId1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