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TAX CODE</w:t>
      </w:r>
    </w:p>
    <w:p w:rsidR="003F3435" w:rsidRDefault="0032493E">
      <w:pPr>
        <w:spacing w:line="480" w:lineRule="auto"/>
        <w:jc w:val="center"/>
      </w:pPr>
      <w:r>
        <w:t xml:space="preserve">TITLE 3. LOCAL TAXATION</w:t>
      </w:r>
    </w:p>
    <w:p w:rsidR="003F3435" w:rsidRDefault="0032493E">
      <w:pPr>
        <w:spacing w:line="480" w:lineRule="auto"/>
        <w:jc w:val="center"/>
      </w:pPr>
      <w:r>
        <w:t xml:space="preserve">SUBTITLE A. GENERAL TAXING AUTHORITY AND PROVISIONS</w:t>
      </w:r>
    </w:p>
    <w:p w:rsidR="003F3435" w:rsidRDefault="0032493E">
      <w:pPr>
        <w:spacing w:line="480" w:lineRule="auto"/>
        <w:jc w:val="center"/>
      </w:pPr>
      <w:r>
        <w:t xml:space="preserve">CHAPTER 301.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301.001.</w:t>
      </w:r>
      <w:r xml:space="preserve">
        <w:t> </w:t>
      </w:r>
      <w:r xml:space="preserve">
        <w:t> </w:t>
      </w:r>
      <w:r>
        <w:t xml:space="preserve">PURPOSE OF TITLE.  (a)  This title is enacted as a part of the state's continuing statutory revision program, conducted by the Texas Legislative Council as directed by Section </w:t>
      </w:r>
      <w:r>
        <w:t xml:space="preserve">323.007</w:t>
      </w:r>
      <w:r>
        <w:t xml:space="preserve">, Government Code.  The program contemplates a topic-by-topic revision of the state's general and permanent statute law without substantive change.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Consistent with the objectives of the statutory revision program, the purpose of this title is to make the general and permanent state tax laws more accessible and understandable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rearranging the statutes into a more logical order;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employing a format and numbering system designed to facilitate citation of the law and to accommodate future expansion of the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eliminating repealed, duplicative, unconstitutional, expired, executed, and other ineffective provisions;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restating the law in modern American English to the greatest extent possible.</w:t>
      </w:r>
    </w:p>
    <w:p w:rsidR="003F3435" w:rsidRDefault="0032493E">
      <w:pPr>
        <w:spacing w:line="480" w:lineRule="auto"/>
        <w:jc w:val="both"/>
      </w:pPr>
      <w:r>
        <w:t xml:space="preserve">Added by Acts 1987, 70th Leg., ch. 191,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301.002.</w:t>
      </w:r>
      <w:r xml:space="preserve">
        <w:t> </w:t>
      </w:r>
      <w:r xml:space="preserve">
        <w:t> </w:t>
      </w:r>
      <w:r>
        <w:t xml:space="preserve">CONSTRUCTION OF CODE.  The Code Construction Act (Chapter </w:t>
      </w:r>
      <w:r>
        <w:t xml:space="preserve">311</w:t>
      </w:r>
      <w:r>
        <w:t xml:space="preserve">, Government Code) applies to the construction of each provision of this title, except as specifically provided by this title.</w:t>
      </w:r>
    </w:p>
    <w:p w:rsidR="003F3435" w:rsidRDefault="0032493E">
      <w:pPr>
        <w:spacing w:line="480" w:lineRule="auto"/>
        <w:jc w:val="both"/>
      </w:pPr>
      <w:r>
        <w:t xml:space="preserve">Added by Acts 1987, 70th Leg., ch. 191,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301.003.</w:t>
      </w:r>
      <w:r xml:space="preserve">
        <w:t> </w:t>
      </w:r>
      <w:r xml:space="preserve">
        <w:t> </w:t>
      </w:r>
      <w:r>
        <w:t xml:space="preserve">INTERNAL REFERENCES.  In this code: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reference to a title, chapter, or section without further identification is a reference to a title, chapter, or section of this code;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reference to a subtitle, subchapter, subsection, subdivision, paragraph, or other numbered or lettered unit without further identification is a reference to a unit of the next larger unit of this code in which the reference appears.</w:t>
      </w:r>
    </w:p>
    <w:p w:rsidR="003F3435" w:rsidRDefault="0032493E">
      <w:pPr>
        <w:spacing w:line="480" w:lineRule="auto"/>
        <w:jc w:val="both"/>
      </w:pPr>
      <w:r>
        <w:t xml:space="preserve">Added by Acts 1987, 70th Leg., ch. 191,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301.004.</w:t>
      </w:r>
      <w:r xml:space="preserve">
        <w:t> </w:t>
      </w:r>
      <w:r xml:space="preserve">
        <w:t> </w:t>
      </w:r>
      <w:r>
        <w:t xml:space="preserve">TELEPHONE COMPANY EXEMPTION.  (a)  A municipality or other political subdivision of this state may not impose an occupation tax or any charge for the privilege of doing business on a telephone company taxed under Chapter </w:t>
      </w:r>
      <w:r>
        <w:t xml:space="preserve">171</w:t>
      </w:r>
      <w:r>
        <w:t xml:space="preserve"> of this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prohibit the collection by a municipality of a franchise tax in effect on October 31, 1936;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prohibit the collection of ad valorem taxes;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affect any contracts made between a municipality and a franchise holder.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this section, "telephone company" means a person who owns or operates a telephone line or a telephone network in this state, charges for its use, and is regulated by the Public Utility Commission of Texas as a certificated provider of local exchange telephone service.</w:t>
      </w:r>
    </w:p>
    <w:p w:rsidR="003F3435" w:rsidRDefault="0032493E">
      <w:pPr>
        <w:spacing w:line="480" w:lineRule="auto"/>
        <w:jc w:val="both"/>
      </w:pPr>
      <w:r>
        <w:t xml:space="preserve">Added by Acts 1987, 70th Leg., 2nd C.S., ch. 5, art. 3, Sec. 3, eff. Oct. 1, 1988.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