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UTILITIES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1997, 75th Leg., ch. 166,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1997, 75th Leg., ch. 166,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that statute.</w:t>
      </w:r>
    </w:p>
    <w:p w:rsidR="003F3435" w:rsidRDefault="0032493E">
      <w:pPr>
        <w:spacing w:line="480" w:lineRule="auto"/>
        <w:jc w:val="both"/>
      </w:pPr>
      <w:r>
        <w:t xml:space="preserve">Acts 1997, 75th Leg., ch. 166,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