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5.  REGULATION OF BUSINESSES AND SERVICES</w:t>
      </w:r>
    </w:p>
    <w:p w:rsidR="003F3435" w:rsidRDefault="0032493E">
      <w:pPr>
        <w:spacing w:line="480" w:lineRule="auto"/>
        <w:jc w:val="center"/>
      </w:pPr>
      <w:r>
        <w:t xml:space="preserve">SUBTITLE C.  BUSINESS OPERATIONS</w:t>
      </w:r>
    </w:p>
    <w:p w:rsidR="003F3435" w:rsidRDefault="0032493E">
      <w:pPr>
        <w:spacing w:line="480" w:lineRule="auto"/>
        <w:jc w:val="center"/>
      </w:pPr>
      <w:r>
        <w:t xml:space="preserve">CHAPTER 103.  APPRAISALS IMPROPERLY INDUCED BY MORTGAGE LENDERS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103.001.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"Lender" means a person who lends money for or invests money in mortgage loans.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"Mortgage loan" means a loan secured by a deed of trust, security deed, or other lien on real property.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103.002.</w:t>
      </w:r>
      <w:r xml:space="preserve">
        <w:t> </w:t>
      </w:r>
      <w:r xml:space="preserve">
        <w:t> </w:t>
      </w:r>
      <w:r>
        <w:t xml:space="preserve">CRIMINAL PENALTY.  (a)  A lender commits an offense if in connection with a mortgage loan transaction the lender pays or offers to pay a person, including an individual licensed or certified by the Texas Appraiser Licensing and Certification Board or the Texas Real Estate Commission, a fee or other consideration for appraisal services and the payment: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contingent on a minimum, maximum, or pre-agreed estimate of value of property securing the loan;</w:t>
      </w:r>
      <w:r xml:space="preserve">
        <w:t> </w:t>
      </w:r>
      <w:r xml:space="preserve">
        <w:t> </w:t>
      </w:r>
      <w:r>
        <w:t xml:space="preserve">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interferes with the person's ability or obligation to provide an independent and impartial opinion of the property's value.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Class A misdemeanor.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instruction a lender gives to a real estate appraiser regarding a legal or other regulatory requirement for the appraisal of property, or any other communication between a lender or real estate appraiser necessary or appropriate under a law, regulation, or underwriting standard applicable to a real estate appraisal, does not constitute interference by a lender for purposes of Subsection (a)(2).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5">
        <w:r>
          <w:rPr>
            <w:rStyle w:val="Hyperlink"/>
          </w:rPr>
          <w:t>2278</w:t>
        </w:r>
      </w:hyperlink>
      <w:r>
        <w:t xml:space="preserve">), Sec. 2.01,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Relationship Type="http://schemas.openxmlformats.org/officeDocument/2006/relationships/hyperlink" Target="http://capitol.texas.gov/tlodocs/80R/billtext/html/HB02278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