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5.  REGULATION OF BUSINESSES AND SERVICES</w:t>
      </w:r>
    </w:p>
    <w:p w:rsidR="003F3435" w:rsidRDefault="0032493E">
      <w:pPr>
        <w:spacing w:line="480" w:lineRule="auto"/>
        <w:jc w:val="center"/>
      </w:pPr>
      <w:r>
        <w:t xml:space="preserve">SUBTITLE C.  BUSINESS OPERATIONS</w:t>
      </w:r>
    </w:p>
    <w:p w:rsidR="003F3435" w:rsidRDefault="0032493E">
      <w:pPr>
        <w:spacing w:line="480" w:lineRule="auto"/>
        <w:jc w:val="center"/>
      </w:pPr>
      <w:r>
        <w:t xml:space="preserve">CHAPTER 115.  SALES AND LEASING OF DISTRIBUTED RENEWABLE GENERATION RESOURCES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"Distributed renewable generation" has the meaning assigned by Section </w:t>
      </w:r>
      <w:r>
        <w:t xml:space="preserve">39.916</w:t>
      </w:r>
      <w:r>
        <w:t xml:space="preserve">, Utilities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"Small commercial customer" has the meaning assigned by Section </w:t>
      </w:r>
      <w:r>
        <w:t xml:space="preserve">39.202</w:t>
      </w:r>
      <w:r>
        <w:t xml:space="preserve">(o), Utilities Code.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561 (S.B. </w:t>
      </w:r>
      <w:hyperlink w:docLocation="table" r:id="rId14">
        <w:r>
          <w:rPr>
            <w:rStyle w:val="Hyperlink"/>
          </w:rPr>
          <w:t>398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  <w:r>
        <w:t xml:space="preserve">Redesignated by Acts 2023, 88th Leg., R.S., Ch. 768 (H.B. </w:t>
      </w:r>
      <w:hyperlink w:docLocation="table" r:id="rId15">
        <w:r>
          <w:rPr>
            <w:rStyle w:val="Hyperlink"/>
          </w:rPr>
          <w:t>4595</w:t>
        </w:r>
      </w:hyperlink>
      <w:r>
        <w:t xml:space="preserve">), Sec. 24.001(1),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115.002.</w:t>
      </w:r>
      <w:r xml:space="preserve">
        <w:t> </w:t>
      </w:r>
      <w:r xml:space="preserve">
        <w:t> </w:t>
      </w:r>
      <w:r>
        <w:t xml:space="preserve">APPLICABILITY.  (a)  This chapter applies to a seller or lessor of distributed renewable generation resources.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transaction involving the sale or transfer of the real property on which a distributed renewable generation resource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person, including a person acting through the person's officers, employees, brokers, or agents, who markets, sells, solicits, negotiates, or enters into an agreement for the sale or financing of a distributed renewable generation resource as part of a transaction involving the sale or transfer of the real property on which the distributed renewable generation resource is or will be affixed;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third party that enters into an agreement for the financing of a distributed renewable generation resource.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561 (S.B. </w:t>
      </w:r>
      <w:hyperlink w:docLocation="table" r:id="rId16">
        <w:r>
          <w:rPr>
            <w:rStyle w:val="Hyperlink"/>
          </w:rPr>
          <w:t>398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  <w:r>
        <w:t xml:space="preserve">Redesignated by Acts 2023, 88th Leg., R.S., Ch. 768 (H.B. </w:t>
      </w:r>
      <w:hyperlink w:docLocation="table" r:id="rId17">
        <w:r>
          <w:rPr>
            <w:rStyle w:val="Hyperlink"/>
          </w:rPr>
          <w:t>4595</w:t>
        </w:r>
      </w:hyperlink>
      <w:r>
        <w:t xml:space="preserve">), Sec. 24.001(1),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115.003.</w:t>
      </w:r>
      <w:r xml:space="preserve">
        <w:t> </w:t>
      </w:r>
      <w:r xml:space="preserve">
        <w:t> </w:t>
      </w:r>
      <w:r>
        <w:t xml:space="preserve">LEASE, SALES, AND INSTALLATION DISCLOSURES.  A seller or lessor who enters into a purchase, lease, or power purchase agreement with a residential or small commercial customer for the operation of a distributed renewable generation resource shall provide to the customer in writing: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contact information of the salesperson and installer of the generation resource;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description of all equipment to be installed;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cost of all equipment to be installed;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detailed accounting of fees associated with the installation or operation of the generation resource;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representations, if any, made as part of the agreement regarding the expected operational performance and financial performance of the generation resource;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all applicable warranties.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561 (S.B. </w:t>
      </w:r>
      <w:hyperlink w:docLocation="table" r:id="rId18">
        <w:r>
          <w:rPr>
            <w:rStyle w:val="Hyperlink"/>
          </w:rPr>
          <w:t>398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  <w:r>
        <w:t xml:space="preserve">Redesignated by Acts 2023, 88th Leg., R.S., Ch. 768 (H.B. </w:t>
      </w:r>
      <w:hyperlink w:docLocation="table" r:id="rId19">
        <w:r>
          <w:rPr>
            <w:rStyle w:val="Hyperlink"/>
          </w:rPr>
          <w:t>4595</w:t>
        </w:r>
      </w:hyperlink>
      <w:r>
        <w:t xml:space="preserve">), Sec. 24.001(1),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115.004.</w:t>
      </w:r>
      <w:r xml:space="preserve">
        <w:t> </w:t>
      </w:r>
      <w:r xml:space="preserve">
        <w:t> </w:t>
      </w:r>
      <w:r>
        <w:t xml:space="preserve">ADDITIONAL DISCLOSURES FOR LEASE AGREEMENTS.  In addition to the disclosures required under Section </w:t>
      </w:r>
      <w:r>
        <w:t xml:space="preserve">115.003</w:t>
      </w:r>
      <w:r>
        <w:t xml:space="preserve">, a lessor shall provide to a leasing residential or small commercial customer in writing: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term and rate of the lease, including any payment escalators or other terms that affect the customer's payments;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statement of whether the lease and any applicable warranty or maintenance agreement is transferable to a subsequent purchaser of the property where the distributed renewable generation resource is installed.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561 (S.B. </w:t>
      </w:r>
      <w:hyperlink w:docLocation="table" r:id="rId20">
        <w:r>
          <w:rPr>
            <w:rStyle w:val="Hyperlink"/>
          </w:rPr>
          <w:t>398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  <w:r>
        <w:t xml:space="preserve">Redesignated by Acts 2023, 88th Leg., R.S., Ch. 768 (H.B. </w:t>
      </w:r>
      <w:hyperlink w:docLocation="table" r:id="rId21">
        <w:r>
          <w:rPr>
            <w:rStyle w:val="Hyperlink"/>
          </w:rPr>
          <w:t>4595</w:t>
        </w:r>
      </w:hyperlink>
      <w:r>
        <w:t xml:space="preserve">), Sec. </w:t>
      </w:r>
      <w:r>
        <w:t xml:space="preserve">24.001</w:t>
      </w:r>
      <w:r>
        <w:t xml:space="preserve">(1),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768 (H.B. </w:t>
      </w:r>
      <w:hyperlink w:docLocation="table" r:id="rId22">
        <w:r>
          <w:rPr>
            <w:rStyle w:val="Hyperlink"/>
          </w:rPr>
          <w:t>4595</w:t>
        </w:r>
      </w:hyperlink>
      <w:r>
        <w:t xml:space="preserve">), Sec. 24.002(1),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115.005.</w:t>
      </w:r>
      <w:r xml:space="preserve">
        <w:t> </w:t>
      </w:r>
      <w:r xml:space="preserve">
        <w:t> </w:t>
      </w:r>
      <w:r>
        <w:t xml:space="preserve">DISCLOSURES FOR POWER PURCHASE AGREEMENTS.  A residential or small commercial customer who enters into a power purchase agreement is entitled to receive in writing: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disclosures required under Sections </w:t>
      </w:r>
      <w:r>
        <w:t xml:space="preserve">115.003</w:t>
      </w:r>
      <w:r>
        <w:t xml:space="preserve">(1), (2), (5), and (6);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term and rate of the power purchase agreement, including any payment escalators or other terms that affect the customer's payments;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whether the power purchase agreement and any applicable warranty or maintenance agreement is transferable to a subsequent purchaser of the property where the distributed renewable generation resource is installed.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561 (S.B. </w:t>
      </w:r>
      <w:hyperlink w:docLocation="table" r:id="rId23">
        <w:r>
          <w:rPr>
            <w:rStyle w:val="Hyperlink"/>
          </w:rPr>
          <w:t>398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  <w:r>
        <w:t xml:space="preserve">Redesignated by Acts 2023, 88th Leg., R.S., Ch. 768 (H.B. </w:t>
      </w:r>
      <w:hyperlink w:docLocation="table" r:id="rId24">
        <w:r>
          <w:rPr>
            <w:rStyle w:val="Hyperlink"/>
          </w:rPr>
          <w:t>4595</w:t>
        </w:r>
      </w:hyperlink>
      <w:r>
        <w:t xml:space="preserve">), Sec. </w:t>
      </w:r>
      <w:r>
        <w:t xml:space="preserve">24.001</w:t>
      </w:r>
      <w:r>
        <w:t xml:space="preserve">(1),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768 (H.B. </w:t>
      </w:r>
      <w:hyperlink w:docLocation="table" r:id="rId25">
        <w:r>
          <w:rPr>
            <w:rStyle w:val="Hyperlink"/>
          </w:rPr>
          <w:t>4595</w:t>
        </w:r>
      </w:hyperlink>
      <w:r>
        <w:t xml:space="preserve">), Sec. 24.002(2),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398F.HTM" TargetMode="External" Id="rId14" /><Relationship Type="http://schemas.openxmlformats.org/officeDocument/2006/relationships/hyperlink" Target="http://capitol.texas.gov/tlodocs/88R/billtext/html/HB04595F.HTM" TargetMode="External" Id="rId15" /><Relationship Type="http://schemas.openxmlformats.org/officeDocument/2006/relationships/hyperlink" Target="http://capitol.texas.gov/tlodocs/87R/billtext/html/SB00398F.HTM" TargetMode="External" Id="rId16" /><Relationship Type="http://schemas.openxmlformats.org/officeDocument/2006/relationships/hyperlink" Target="http://capitol.texas.gov/tlodocs/88R/billtext/html/HB04595F.HTM" TargetMode="External" Id="rId17" /><Relationship Type="http://schemas.openxmlformats.org/officeDocument/2006/relationships/hyperlink" Target="http://capitol.texas.gov/tlodocs/87R/billtext/html/SB00398F.HTM" TargetMode="External" Id="rId18" /><Relationship Type="http://schemas.openxmlformats.org/officeDocument/2006/relationships/hyperlink" Target="http://capitol.texas.gov/tlodocs/88R/billtext/html/HB04595F.HTM" TargetMode="External" Id="rId19" /><Relationship Type="http://schemas.openxmlformats.org/officeDocument/2006/relationships/hyperlink" Target="http://capitol.texas.gov/tlodocs/87R/billtext/html/SB00398F.HTM" TargetMode="External" Id="rId20" /><Relationship Type="http://schemas.openxmlformats.org/officeDocument/2006/relationships/hyperlink" Target="http://capitol.texas.gov/tlodocs/88R/billtext/html/HB04595F.HTM" TargetMode="External" Id="rId21" /><Relationship Type="http://schemas.openxmlformats.org/officeDocument/2006/relationships/hyperlink" Target="http://capitol.texas.gov/tlodocs/88R/billtext/html/HB04595F.HTM" TargetMode="External" Id="rId22" /><Relationship Type="http://schemas.openxmlformats.org/officeDocument/2006/relationships/hyperlink" Target="http://capitol.texas.gov/tlodocs/87R/billtext/html/SB00398F.HTM" TargetMode="External" Id="rId23" /><Relationship Type="http://schemas.openxmlformats.org/officeDocument/2006/relationships/hyperlink" Target="http://capitol.texas.gov/tlodocs/88R/billtext/html/HB04595F.HTM" TargetMode="External" Id="rId24" /><Relationship Type="http://schemas.openxmlformats.org/officeDocument/2006/relationships/hyperlink" Target="http://capitol.texas.gov/tlodocs/88R/billtext/html/HB04595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