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5.  REGULATION OF BUSINESSES AND SERVICES</w:t>
      </w:r>
    </w:p>
    <w:p w:rsidR="003F3435" w:rsidRDefault="0032493E">
      <w:pPr>
        <w:spacing w:line="480" w:lineRule="auto"/>
        <w:jc w:val="center"/>
      </w:pPr>
      <w:r>
        <w:t xml:space="preserve">SUBTITLE C.  BUSINESS OPERATIONS</w:t>
      </w:r>
    </w:p>
    <w:p w:rsidR="003F3435" w:rsidRDefault="0032493E">
      <w:pPr>
        <w:spacing w:line="480" w:lineRule="auto"/>
        <w:jc w:val="center"/>
      </w:pPr>
      <w:r>
        <w:t xml:space="preserve">CHAPTER 119.  COMMERCIAL BUILDING CONSTRUCTION PROJECTS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119.0001.</w:t>
      </w:r>
      <w:r xml:space="preserve">
        <w:t> </w:t>
      </w:r>
      <w:r xml:space="preserve">
        <w:t> </w:t>
      </w:r>
      <w:r>
        <w:t xml:space="preserve">POSTING OF CERTAIN INFORMATION AT COMMERCIAL BUILDING CONSTRUCTION SITE REQUIRED.  (a)</w:t>
      </w:r>
      <w:r xml:space="preserve">
        <w:t> </w:t>
      </w:r>
      <w:r xml:space="preserve">
        <w:t> </w:t>
      </w:r>
      <w:r>
        <w:t xml:space="preserve">In this section, "commercial" has the meaning assigned by Section </w:t>
      </w:r>
      <w:r>
        <w:t xml:space="preserve">214.211</w:t>
      </w:r>
      <w:r>
        <w:t xml:space="preserve">, Local Government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As soon as practicable after beginning construction of a commercial building project located in this state, the developer of the project shall visibly post the following information at the entrance to the construction site: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name and contact information of the developer;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brief description of the project.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512 (S.B. </w:t>
      </w:r>
      <w:hyperlink w:docLocation="table" r:id="rId14">
        <w:r>
          <w:rPr>
            <w:rStyle w:val="Hyperlink"/>
          </w:rPr>
          <w:t>291</w:t>
        </w:r>
      </w:hyperlink>
      <w:r>
        <w:t xml:space="preserve">), Sec. 1, eff. September 1, 2021.</w:t>
      </w:r>
    </w:p>
    <w:p w:rsidR="003F3435" w:rsidRDefault="0032493E">
      <w:pPr>
        <w:spacing w:line="480" w:lineRule="auto"/>
        <w:jc w:val="both"/>
      </w:pPr>
      <w:r>
        <w:t xml:space="preserve">Redesignated from Business and Commerce Code, Chapter </w:t>
      </w:r>
      <w:r>
        <w:t xml:space="preserve">116</w:t>
      </w:r>
      <w:r>
        <w:t xml:space="preserve"> by Acts 2023, 88th Leg., R.S., Ch. 768 (H.B. </w:t>
      </w:r>
      <w:hyperlink w:docLocation="table" r:id="rId15">
        <w:r>
          <w:rPr>
            <w:rStyle w:val="Hyperlink"/>
          </w:rPr>
          <w:t>4595</w:t>
        </w:r>
      </w:hyperlink>
      <w:r>
        <w:t xml:space="preserve">), Sec. 24.001(4), eff.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7R/billtext/html/SB00291F.HTM" TargetMode="External" Id="rId14" /><Relationship Type="http://schemas.openxmlformats.org/officeDocument/2006/relationships/hyperlink" Target="http://capitol.texas.gov/tlodocs/88R/billtext/html/HB04595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