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99.  MISCELLANEOUS COMMERCIAL PROVISIONS</w:t>
      </w:r>
    </w:p>
    <w:p w:rsidR="003F3435" w:rsidRDefault="0032493E">
      <w:pPr>
        <w:spacing w:line="480" w:lineRule="auto"/>
        <w:jc w:val="center"/>
      </w:pPr>
      <w:r>
        <w:t xml:space="preserve">CHAPTER 2001. DESTRUCTION OF DIE, MOLD, OR FORM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2001.001.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"Molder" means an individual, firm, or corporation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makes a die, mold, or form;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uses a die, mold, or form to make another product.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"Owner" means an individual, firm, or corporation that holds title to a die, mold, or form.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4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2001.002.</w:t>
      </w:r>
      <w:r xml:space="preserve">
        <w:t> </w:t>
      </w:r>
      <w:r xml:space="preserve">
        <w:t> </w:t>
      </w:r>
      <w:r>
        <w:t xml:space="preserve">NOTICE OF INTENT TO DESTROY DIE, MOLD, OR FORM NOT OWNED BY MOLDER.  (a)  After the third anniversary of the date a die, mold, or form was last used or, if the die, mold, or form was never used, after the third anniversary of the date the die, mold, or form was made, a molder that is in possession of the die, mold, or form may send notice to the owner that the molder intends to destroy the die, mold, or form.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notice must be sent by registered mail, return receipt requested, to the last known address of the owner.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5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2001.003.</w:t>
      </w:r>
      <w:r xml:space="preserve">
        <w:t> </w:t>
      </w:r>
      <w:r xml:space="preserve">
        <w:t> </w:t>
      </w:r>
      <w:r>
        <w:t xml:space="preserve">DESTRUCTION OF DIE, MOLD, OR FORM NOT OWNED BY MOLDER.  A molder that sends a notice in accordance with Section </w:t>
      </w:r>
      <w:r>
        <w:t xml:space="preserve">2001.002</w:t>
      </w:r>
      <w:r>
        <w:t xml:space="preserve"> may destroy the die, mold, or form if, before the 121st day after the date the owner receives the notice, the owner does not: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take possession of the die, mold, or form;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make arrangements with the molder for the removal or continued storage of the die, mold, or form.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6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2001.004.</w:t>
      </w:r>
      <w:r xml:space="preserve">
        <w:t> </w:t>
      </w:r>
      <w:r xml:space="preserve">
        <w:t> </w:t>
      </w:r>
      <w:r>
        <w:t xml:space="preserve">TITLE EXTINGUISHED ON DESTRUCTION OF DIE, MOLD, OR FORM.  Title to a die, mold, or form destroyed in accordance with this chapter is extinguished at the time of the destruction.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7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2001.005.</w:t>
      </w:r>
      <w:r xml:space="preserve">
        <w:t> </w:t>
      </w:r>
      <w:r xml:space="preserve">
        <w:t> </w:t>
      </w:r>
      <w:r>
        <w:t xml:space="preserve">LIMITATION ON LIABILITY OF MOLDER.  A molder may not be held criminally or civilly liable for destroying a die, mold, or form if the molder complies with Sections </w:t>
      </w:r>
      <w:r>
        <w:t xml:space="preserve">2001.002</w:t>
      </w:r>
      <w:r>
        <w:t xml:space="preserve"> and </w:t>
      </w:r>
      <w:r>
        <w:t xml:space="preserve">2001.003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8">
        <w:r>
          <w:rPr>
            <w:rStyle w:val="Hyperlink"/>
          </w:rPr>
          <w:t>2278</w:t>
        </w:r>
      </w:hyperlink>
      <w:r>
        <w:t xml:space="preserve">), Sec. 2.01, eff. April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2001.006.</w:t>
      </w:r>
      <w:r xml:space="preserve">
        <w:t> </w:t>
      </w:r>
      <w:r xml:space="preserve">
        <w:t> </w:t>
      </w:r>
      <w:r>
        <w:t xml:space="preserve">DESTRUCTION OF DIE, MOLD, OR FORM OWNED BY MOLDER.  This chapter does not prohibit a molder that is the owner of a die, mold, or form from destroying the die, mold, or form at any time.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9">
        <w:r>
          <w:rPr>
            <w:rStyle w:val="Hyperlink"/>
          </w:rPr>
          <w:t>2278</w:t>
        </w:r>
      </w:hyperlink>
      <w:r>
        <w:t xml:space="preserve">), Sec. 2.01,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278F.HTM" TargetMode="External" Id="rId14" /><Relationship Type="http://schemas.openxmlformats.org/officeDocument/2006/relationships/hyperlink" Target="http://capitol.texas.gov/tlodocs/80R/billtext/html/HB02278F.HTM" TargetMode="External" Id="rId15" /><Relationship Type="http://schemas.openxmlformats.org/officeDocument/2006/relationships/hyperlink" Target="http://capitol.texas.gov/tlodocs/80R/billtext/html/HB02278F.HTM" TargetMode="External" Id="rId16" /><Relationship Type="http://schemas.openxmlformats.org/officeDocument/2006/relationships/hyperlink" Target="http://capitol.texas.gov/tlodocs/80R/billtext/html/HB02278F.HTM" TargetMode="External" Id="rId17" /><Relationship Type="http://schemas.openxmlformats.org/officeDocument/2006/relationships/hyperlink" Target="http://capitol.texas.gov/tlodocs/80R/billtext/html/HB02278F.HTM" TargetMode="External" Id="rId18" /><Relationship Type="http://schemas.openxmlformats.org/officeDocument/2006/relationships/hyperlink" Target="http://capitol.texas.gov/tlodocs/80R/billtext/html/HB02278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