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BUSINESS AND COMMERCE CODE</w:t>
      </w:r>
    </w:p>
    <w:p w:rsidR="003F3435" w:rsidRDefault="0032493E">
      <w:pPr>
        <w:spacing w:line="480" w:lineRule="auto"/>
        <w:jc w:val="center"/>
      </w:pPr>
      <w:r>
        <w:t xml:space="preserve">TITLE 6.  SALE OR TRANSFER OF GOODS</w:t>
      </w:r>
    </w:p>
    <w:p w:rsidR="003F3435" w:rsidRDefault="0032493E">
      <w:pPr>
        <w:spacing w:line="480" w:lineRule="auto"/>
        <w:jc w:val="center"/>
      </w:pPr>
      <w:r>
        <w:t xml:space="preserve">CHAPTER 203.  EXPORTING ARTICLES WITHOUT INSPECTION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203.001.</w:t>
      </w:r>
      <w:r xml:space="preserve">
        <w:t> </w:t>
      </w:r>
      <w:r xml:space="preserve">
        <w:t> </w:t>
      </w:r>
      <w:r>
        <w:t xml:space="preserve">CRIMINAL PENALTY FOR EXPORTING ARTICLES WITHOUT REQUIRED INSPECTION.  (a)  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exports from this state, or ships for the purpose of exportation to a state other than this state or to a foreign port, an article of commerce that by law of this state is required to be inspected by a public inspector;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does not have the article inspected as required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offense under this section is a misdemeanor punishable by a fine not to exceed $100.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885 (H.B. </w:t>
      </w:r>
      <w:hyperlink w:docLocation="table" r:id="rId14">
        <w:r>
          <w:rPr>
            <w:rStyle w:val="Hyperlink"/>
          </w:rPr>
          <w:t>2278</w:t>
        </w:r>
      </w:hyperlink>
      <w:r>
        <w:t xml:space="preserve">), Sec. 2.01, eff. April 1, 2009.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HB02278F.HTM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