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7.  RECEIPTS, DOCUMENTS OF TITLE, AND OTHER INSTRUMENTS</w:t>
      </w:r>
    </w:p>
    <w:p w:rsidR="003F3435" w:rsidRDefault="0032493E">
      <w:pPr>
        <w:spacing w:line="480" w:lineRule="auto"/>
        <w:jc w:val="center"/>
      </w:pPr>
      <w:r>
        <w:t xml:space="preserve">CHAPTER 252.  BILLS OF LADING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252.001.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"Agent" includes an officer, employee, or receiver.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"Bill of lading" means a document evidencing the receipt of goods for shipment issued by a person engaged in the business of transporting or forwarding goods.</w:t>
      </w:r>
      <w:r xml:space="preserve">
        <w:t> </w:t>
      </w:r>
      <w:r xml:space="preserve">
        <w:t> </w:t>
      </w:r>
      <w:r>
        <w:t xml:space="preserve">The term includes an air consignment note, air waybill, or other document for air transportation comparable to a bill of lading for marine or rail transportation.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"Goods" means all things treated as movable for purposes of a contract of storage or transportation.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252.002.</w:t>
      </w:r>
      <w:r xml:space="preserve">
        <w:t> </w:t>
      </w:r>
      <w:r xml:space="preserve">
        <w:t> </w:t>
      </w:r>
      <w:r>
        <w:t xml:space="preserve">DUTIES OF RAILROAD COMMISSION.  (a)  In this section, "common carrier" does not include a pipeline company or express company.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Railroad Commission of Texas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prescribe forms, terms, and conditions for authenticating, certifying, or validating bills of lading issued by a common carrier;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regulate the manner by which a common carrier issues bills of lading;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take other action necessary to carry out the purposes of Chapter </w:t>
      </w:r>
      <w:r>
        <w:t xml:space="preserve">7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After giving reasonable notice to interested common carriers and to the public, the railroad commission may amend a rule adopted under Subsection (b).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252.003.</w:t>
      </w:r>
      <w:r xml:space="preserve">
        <w:t> </w:t>
      </w:r>
      <w:r xml:space="preserve">
        <w:t> </w:t>
      </w:r>
      <w:r>
        <w:t xml:space="preserve">AGENT WRONGFULLY FAILING OR REFUSING TO ISSUE BILL OF LADING.  (a)  In this section, "common carrier" does not include a pipeline company or express company.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agent of a common carrier may not after lawful demand fail or refuse to issue a bill of lading in accordance with Chapter </w:t>
      </w:r>
      <w:r>
        <w:t xml:space="preserve">7</w:t>
      </w:r>
      <w:r>
        <w:t xml:space="preserve"> or a rule of the railroad commission.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agent who violates this section commits an offense.</w:t>
      </w:r>
      <w:r xml:space="preserve">
        <w:t> </w:t>
      </w:r>
      <w:r xml:space="preserve">
        <w:t> </w:t>
      </w:r>
      <w:r>
        <w:t xml:space="preserve">An offense under this section is a misdemeanor punishable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confinement in the county jail for a term of not more than six months;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fine not to exceed $200;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both the fine and confinement.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252.004.</w:t>
      </w:r>
      <w:r xml:space="preserve">
        <w:t> </w:t>
      </w:r>
      <w:r xml:space="preserve">
        <w:t> </w:t>
      </w:r>
      <w:r>
        <w:t xml:space="preserve">AGENT ISSUING FRAUDULENT BILL OF LADING.  (a)  In this section, "common carrier" does not include a pipeline company or express company.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agent of a common carrier may not with intent to defraud a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issue a bill of lading;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incorrectly describe goods or the quantity of goods in a bill of lading;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issue a bill of lading without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agent who violates this section commits an offense.</w:t>
      </w:r>
      <w:r xml:space="preserve">
        <w:t> </w:t>
      </w:r>
      <w:r xml:space="preserve">
        <w:t> </w:t>
      </w:r>
      <w:r>
        <w:t xml:space="preserve">An offense under this section is a felony punishable by imprisonment in the Texas Department of Criminal Justice for a term of not more than 10 years or less than two years.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252.005.</w:t>
      </w:r>
      <w:r xml:space="preserve">
        <w:t> </w:t>
      </w:r>
      <w:r xml:space="preserve">
        <w:t> </w:t>
      </w:r>
      <w:r>
        <w:t xml:space="preserve">AGENT ISSUING ORDER BILL OF LADING IN DUPLICATE OR SET OF PARTS.  (a)  Except where customary in overseas transportation, an agent of a common carrier may not knowingly issue or aid in issuing an order bill of lading in duplicate or in a set of parts.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agent who violates this section commits an offense.</w:t>
      </w:r>
      <w:r xml:space="preserve">
        <w:t> </w:t>
      </w:r>
      <w:r xml:space="preserve">
        <w:t> </w:t>
      </w:r>
      <w:r>
        <w:t xml:space="preserve">An offense under this section is a felony punishable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imprisonment in the Texas Department of Criminal Justice for a term of not more than five years;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fine not to exceed $5,000.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8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252.006.</w:t>
      </w:r>
      <w:r xml:space="preserve">
        <w:t> </w:t>
      </w:r>
      <w:r xml:space="preserve">
        <w:t> </w:t>
      </w:r>
      <w:r>
        <w:t xml:space="preserve">FRAUDULENTLY INDUCING ISSUANCE OF BILL OF LADING.  (a)  A person may not, with intent to defraud, induce an agent of a common carrier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issue to the person a bill of lading;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materially misrepresent in a bill of lading issued on behalf of the common carrier the quantity of goods described in the bill of lading.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violates this section commits an offense.</w:t>
      </w:r>
      <w:r xml:space="preserve">
        <w:t> </w:t>
      </w:r>
      <w:r xml:space="preserve">
        <w:t> </w:t>
      </w:r>
      <w:r>
        <w:t xml:space="preserve">An offense under this section is a felony punishable by imprisonment in the Texas Department of Criminal Justice for a term of not more than five years or less than two years.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9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252.007.</w:t>
      </w:r>
      <w:r xml:space="preserve">
        <w:t> </w:t>
      </w:r>
      <w:r xml:space="preserve">
        <w:t> </w:t>
      </w:r>
      <w:r>
        <w:t xml:space="preserve">FRAUDULENTLY NEGOTIATING OR TRANSFERRING BILL OF LADING.  (a)  A person may not, with intent to defraud, negotiate or transfer a bill of lading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issued in violation of Chapter </w:t>
      </w:r>
      <w:r>
        <w:t xml:space="preserve">7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contains a false, material statement of fact.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violates this section commits an offense.</w:t>
      </w:r>
      <w:r xml:space="preserve">
        <w:t> </w:t>
      </w:r>
      <w:r xml:space="preserve">
        <w:t> </w:t>
      </w:r>
      <w:r>
        <w:t xml:space="preserve">An offense under this section is a felony punishable by imprisonment in the Texas Department of Criminal Justice for a term of not more than 10 years.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20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Relationship Type="http://schemas.openxmlformats.org/officeDocument/2006/relationships/hyperlink" Target="http://capitol.texas.gov/tlodocs/80R/billtext/html/HB02278F.HTM" TargetMode="External" Id="rId18" /><Relationship Type="http://schemas.openxmlformats.org/officeDocument/2006/relationships/hyperlink" Target="http://capitol.texas.gov/tlodocs/80R/billtext/html/HB02278F.HTM" TargetMode="External" Id="rId19" /><Relationship Type="http://schemas.openxmlformats.org/officeDocument/2006/relationships/hyperlink" Target="http://capitol.texas.gov/tlodocs/80R/billtext/html/HB02278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