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7.  RECEIPTS, DOCUMENTS OF TITLE, AND OTHER INSTRUMENTS</w:t>
      </w:r>
    </w:p>
    <w:p w:rsidR="003F3435" w:rsidRDefault="0032493E">
      <w:pPr>
        <w:spacing w:line="480" w:lineRule="auto"/>
        <w:jc w:val="center"/>
      </w:pPr>
      <w:r>
        <w:t xml:space="preserve">CHAPTER 253.  PROTESTED OUT-OF-STATE DRAFTS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253.001.</w:t>
      </w:r>
      <w:r xml:space="preserve">
        <w:t> </w:t>
      </w:r>
      <w:r xml:space="preserve">
        <w:t> </w:t>
      </w:r>
      <w:r>
        <w:t xml:space="preserve">DAMAGES ON PROTESTED OUT-OF-STATE DRAFTS.  The holder of a protested draft is entitled to damages in an amount equal to 10 percent of the amount of the draft, plus interest and the costs of suit, if: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draft was drawn by a merchant in this state on the merchant's agent or factor outside this state;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drawer's or indorser's liability on the draft has been fixed.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885 (H.B. </w:t>
      </w:r>
      <w:hyperlink w:docLocation="table" r:id="rId14">
        <w:r>
          <w:rPr>
            <w:rStyle w:val="Hyperlink"/>
          </w:rPr>
          <w:t>2278</w:t>
        </w:r>
      </w:hyperlink>
      <w:r>
        <w:t xml:space="preserve">), Sec. 2.01, eff. April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27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