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BUSINESS AND COMMERCE CODE</w:t>
      </w:r>
    </w:p>
    <w:p w:rsidR="003F3435" w:rsidRDefault="0032493E">
      <w:pPr>
        <w:spacing w:line="480" w:lineRule="auto"/>
        <w:jc w:val="center"/>
      </w:pPr>
      <w:r>
        <w:t xml:space="preserve">TITLE 10.  USE OF TELECOMMUNICATIONS</w:t>
      </w:r>
    </w:p>
    <w:p w:rsidR="003F3435" w:rsidRDefault="0032493E">
      <w:pPr>
        <w:spacing w:line="480" w:lineRule="auto"/>
        <w:jc w:val="center"/>
      </w:pPr>
      <w:r>
        <w:t xml:space="preserve">SUBTITLE B.  ELECTRONIC COMMUNICATIONS</w:t>
      </w:r>
    </w:p>
    <w:p w:rsidR="003F3435" w:rsidRDefault="0032493E">
      <w:pPr>
        <w:spacing w:line="480" w:lineRule="auto"/>
        <w:jc w:val="center"/>
      </w:pPr>
      <w:r>
        <w:t xml:space="preserve">CHAPTER 326.  AUTOMATED SALES SUPPRESSION DEVICES; PHANTOM-WARE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326.001.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"Automated sales suppression device" means a device or software program that falsifies an electronic record, including transaction data or a transaction report, of an electronic cash register or other point-of-sale system.</w:t>
      </w:r>
      <w:r xml:space="preserve">
        <w:t> </w:t>
      </w:r>
      <w:r xml:space="preserve">
        <w:t> </w:t>
      </w:r>
      <w:r>
        <w:t xml:space="preserve">The term includes a device that carries the software program or an Internet link to the software program.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"Electronic cash register" means a device or point-of-sale system that maintains a register or documentation through an electronic device or computer system that is designed to record transaction data for the purpose of computing, compiling, or processing retail sales transaction data.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"Phantom-ware" means a hidden programming option that is embedded in the operating system of an electronic cash register or hardwired into an electronic cash register and that may be used to create a second set of transaction reports or to eliminate or manipulate an original transaction report, which may or may not be preserved in a digital format, to represent the original or manipulated report of a transaction in the electronic cash register.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"Transaction data" includes data identifying an item purchased by a customer, a price for an item, a taxability determination for an item, a segregated tax amount for an item, an amount of cash or credit tendered for an item, a net amount of cash returned to a customer who purchased an item, a date or time of a purchase, a receipt or invoice number for a transaction, and a vendor's name, address, or identification number.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"Transaction report" means a report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contains documentation of each sale, amount of tax or fee collected, media total, or discount void at an electronic cash register and that is printed on a cash register tape at the end of a day or a shift;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documents every action at an electronic cash register and is stored electronically.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427 (S.B. </w:t>
      </w:r>
      <w:hyperlink w:docLocation="table" r:id="rId14">
        <w:r>
          <w:rPr>
            <w:rStyle w:val="Hyperlink"/>
          </w:rPr>
          <w:t>529</w:t>
        </w:r>
      </w:hyperlink>
      <w:r>
        <w:t xml:space="preserve">), Sec. 1, eff. September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326.002.</w:t>
      </w:r>
      <w:r xml:space="preserve">
        <w:t> </w:t>
      </w:r>
      <w:r xml:space="preserve">
        <w:t> </w:t>
      </w:r>
      <w:r>
        <w:t xml:space="preserve">AUTOMATED SALES SUPPRESSION DEVICES AND PHANTOM-WARE PROHIBITED; CRIMINAL OFFENSE.  (a)</w:t>
      </w:r>
      <w:r xml:space="preserve">
        <w:t> </w:t>
      </w:r>
      <w:r xml:space="preserve">
        <w:t> </w:t>
      </w:r>
      <w:r>
        <w:t xml:space="preserve">A person commits an offense if the person knowingly sells, purchases, installs, transfers, uses, or possesses an automated sales suppression device or phantom-ware.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offense under this section is a state jail felony.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427 (S.B. </w:t>
      </w:r>
      <w:hyperlink w:docLocation="table" r:id="rId15">
        <w:r>
          <w:rPr>
            <w:rStyle w:val="Hyperlink"/>
          </w:rPr>
          <w:t>529</w:t>
        </w:r>
      </w:hyperlink>
      <w:r>
        <w:t xml:space="preserve">), Sec. 1, eff. September 1, 2013.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3R/billtext/html/SB00529F.HTM" TargetMode="External" Id="rId14" /><Relationship Type="http://schemas.openxmlformats.org/officeDocument/2006/relationships/hyperlink" Target="http://capitol.texas.gov/tlodocs/83R/billtext/html/SB00529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