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10.  USE OF TELECOMMUNICATIONS</w:t>
      </w:r>
    </w:p>
    <w:p w:rsidR="003F3435" w:rsidRDefault="0032493E">
      <w:pPr>
        <w:spacing w:line="480" w:lineRule="auto"/>
        <w:jc w:val="center"/>
      </w:pPr>
      <w:r>
        <w:t xml:space="preserve">SUBTITLE B.  ELECTRONIC COMMUNICATIONS</w:t>
      </w:r>
    </w:p>
    <w:p w:rsidR="003F3435" w:rsidRDefault="0032493E">
      <w:pPr>
        <w:spacing w:line="480" w:lineRule="auto"/>
        <w:jc w:val="center"/>
      </w:pPr>
      <w:r>
        <w:t xml:space="preserve">CHAPTER 329.  ONLINE SALE OF GOODS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329.001.</w:t>
      </w:r>
      <w:r xml:space="preserve">
        <w:t> </w:t>
      </w:r>
      <w:r xml:space="preserve">
        <w:t> </w:t>
      </w:r>
      <w:r>
        <w:t xml:space="preserve">DEFINITION.  In this chapter, "goods" has the meaning assigned by Section </w:t>
      </w:r>
      <w:r>
        <w:t xml:space="preserve">17.45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169 (S.B. </w:t>
      </w:r>
      <w:hyperlink w:docLocation="table" r:id="rId14">
        <w:r>
          <w:rPr>
            <w:rStyle w:val="Hyperlink"/>
          </w:rPr>
          <w:t>58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328</w:t>
      </w:r>
      <w:r>
        <w:t xml:space="preserve"> by Acts 2025, 89th Leg., R.S., Ch. 204 (H.B. </w:t>
      </w:r>
      <w:hyperlink w:docLocation="table" r:id="rId15">
        <w:r>
          <w:rPr>
            <w:rStyle w:val="Hyperlink"/>
          </w:rPr>
          <w:t>1620</w:t>
        </w:r>
      </w:hyperlink>
      <w:r>
        <w:t xml:space="preserve">), Sec. 22.001(2),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329.002.</w:t>
      </w:r>
      <w:r xml:space="preserve">
        <w:t> </w:t>
      </w:r>
      <w:r xml:space="preserve">
        <w:t> </w:t>
      </w:r>
      <w:r>
        <w:t xml:space="preserve">PROHIBITIONS CONCERNING SALE OF GOODS ONLINE.  (a)  For commercial purposes, a person may not sell, use, or cause to be used any technology, device, or software in the sale of goods on an Internet website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functions as a bypass in the purchasing process;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disguises the identity of the purchaser;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permits the purchase of a quantity of goods in a number that exceeds the maximum number of goods that may be sold to one purchaser as specified by the seller or operator on the website;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allows for the unauthorized access to or identification of gift card information, including gift card numbers and gift card personal identification numbers;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circumvents a security measure, access control system, or other control, authorization, or measure in the purchasing process.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 the seller of goods on the Internet website or to the operator of the Internet website.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169 (S.B. </w:t>
      </w:r>
      <w:hyperlink w:docLocation="table" r:id="rId16">
        <w:r>
          <w:rPr>
            <w:rStyle w:val="Hyperlink"/>
          </w:rPr>
          <w:t>58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328</w:t>
      </w:r>
      <w:r>
        <w:t xml:space="preserve"> by Acts 2025, 89th Leg., R.S., Ch. 204 (H.B. </w:t>
      </w:r>
      <w:hyperlink w:docLocation="table" r:id="rId17">
        <w:r>
          <w:rPr>
            <w:rStyle w:val="Hyperlink"/>
          </w:rPr>
          <w:t>1620</w:t>
        </w:r>
      </w:hyperlink>
      <w:r>
        <w:t xml:space="preserve">), Sec. 22.001(2),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329.003.</w:t>
      </w:r>
      <w:r xml:space="preserve">
        <w:t> </w:t>
      </w:r>
      <w:r xml:space="preserve">
        <w:t> </w:t>
      </w:r>
      <w:r>
        <w:t xml:space="preserve">ENFORCEMENT BY ATTORNEY GENERAL; INJUNCTION.  (a)  The attorney general may investigate a claim that a person violated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attorney general believes that a person is violating this chapter, the attorney general may bring an action in the name of the state to restrain or enjoin the person from violating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attorney general is entitled to recover all reasonable costs of bringing an action under this section, including court costs, reasonable attorney's fees, and investigation costs.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169 (S.B. </w:t>
      </w:r>
      <w:hyperlink w:docLocation="table" r:id="rId18">
        <w:r>
          <w:rPr>
            <w:rStyle w:val="Hyperlink"/>
          </w:rPr>
          <w:t>58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328</w:t>
      </w:r>
      <w:r>
        <w:t xml:space="preserve"> by Acts 2025, 89th Leg., R.S., Ch. 204 (H.B. </w:t>
      </w:r>
      <w:hyperlink w:docLocation="table" r:id="rId19">
        <w:r>
          <w:rPr>
            <w:rStyle w:val="Hyperlink"/>
          </w:rPr>
          <w:t>1620</w:t>
        </w:r>
      </w:hyperlink>
      <w:r>
        <w:t xml:space="preserve">), Sec. 22.001(2),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0058F.HTM" TargetMode="External" Id="rId14" /><Relationship Type="http://schemas.openxmlformats.org/officeDocument/2006/relationships/hyperlink" Target="http://capitol.texas.gov/tlodocs/89R/billtext/html/HB01620F.HTM" TargetMode="External" Id="rId15" /><Relationship Type="http://schemas.openxmlformats.org/officeDocument/2006/relationships/hyperlink" Target="http://capitol.texas.gov/tlodocs/88R/billtext/html/SB00058F.HTM" TargetMode="External" Id="rId16" /><Relationship Type="http://schemas.openxmlformats.org/officeDocument/2006/relationships/hyperlink" Target="http://capitol.texas.gov/tlodocs/89R/billtext/html/HB01620F.HTM" TargetMode="External" Id="rId17" /><Relationship Type="http://schemas.openxmlformats.org/officeDocument/2006/relationships/hyperlink" Target="http://capitol.texas.gov/tlodocs/88R/billtext/html/SB00058F.HTM" TargetMode="External" Id="rId18" /><Relationship Type="http://schemas.openxmlformats.org/officeDocument/2006/relationships/hyperlink" Target="http://capitol.texas.gov/tlodocs/89R/billtext/html/HB01620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