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11.  PERSONAL IDENTITY INFORMATION</w:t>
      </w:r>
    </w:p>
    <w:p w:rsidR="003F3435" w:rsidRDefault="0032493E">
      <w:pPr>
        <w:spacing w:line="480" w:lineRule="auto"/>
        <w:jc w:val="center"/>
      </w:pPr>
      <w:r>
        <w:t xml:space="preserve">SUBTITLE A.  IDENTIFYING INFORMATION</w:t>
      </w:r>
    </w:p>
    <w:p w:rsidR="003F3435" w:rsidRDefault="0032493E">
      <w:pPr>
        <w:spacing w:line="480" w:lineRule="auto"/>
        <w:jc w:val="center"/>
      </w:pPr>
      <w:r>
        <w:t xml:space="preserve">CHAPTER 503.  BIOMETRIC IDENTIFIERS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503.001.</w:t>
      </w:r>
      <w:r xml:space="preserve">
        <w:t> </w:t>
      </w:r>
      <w:r xml:space="preserve">
        <w:t> </w:t>
      </w:r>
      <w:r>
        <w:t xml:space="preserve">CAPTURE OR USE OF BIOMETRIC IDENTIFIER.  (a)  In this section, "biometric identifier" means a retina or iris scan, fingerprint, voiceprint, or record of hand or face geometry.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capture a biometric identifier of an individual for a commercial purpose unless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informs the individual before capturing the biometric identifier;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receives the individual's consent to capture the biometric identifier.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who possesses a biometric identifier of an individual that is captured for a commercial purpose: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sell, lease, or otherwise disclose the biometric identifier to another person unless: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individual consents to the disclosure for identification purposes in the event of the individual's disappearance or death;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disclosure completes a financial transaction that the individual requested or authorized;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disclosure is required or permitted by a federal statute or by a state statute other than Chapter </w:t>
      </w:r>
      <w:r>
        <w:t xml:space="preserve">552</w:t>
      </w:r>
      <w:r>
        <w:t xml:space="preserve">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disclosure is made by or to a law enforcement agency for a law enforcement purpose in response to a warrant;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store, transmit, and protect from disclosure the biometric identifier using reasonable care and in a manner that is the same as or more protective than the manner in which the person stores, transmits, and protects any other confidential information the person possesses;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shall destroy the biometric identifier within a reasonable time, but not later than the first anniversary of the date the purpose for collecting the identifier expires, except as provided by Subsection (c-1).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t xml:space="preserve">If a biometric identifier of an individual captured for a commercial purpose is used in connection with an instrument or document that is required by another law to be maintained for a period longer than the period prescribed by Subsection (c)(3), the person who possesses the biometric identifier shall destroy the biometric identifier within a reasonable time, but not later than the first anniversary of the date the instrument or document is no longer required to be maintained by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If a biometric identifier captured for a commercial purpose has been collected for security purposes by an employer, the purpose for collecting the identifier under Subsection (c)(3) is presumed to expire on termination of the employment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who violates this section is subject to a civil penalty of not more than $25,000 for each violation.</w:t>
      </w:r>
      <w:r xml:space="preserve">
        <w:t> </w:t>
      </w:r>
      <w:r xml:space="preserve">
        <w:t> </w:t>
      </w:r>
      <w:r>
        <w:t xml:space="preserve">The attorney general may bring an action to recover the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does not apply to voiceprint data retained by a financial institution or an affiliate of a financial institution, as those terms are defined by 15 U.S.C. Section 6809.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4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1163 (H.B. </w:t>
      </w:r>
      <w:hyperlink w:docLocation="table" r:id="rId15">
        <w:r>
          <w:rPr>
            <w:rStyle w:val="Hyperlink"/>
          </w:rPr>
          <w:t>3186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913 (S.B. </w:t>
      </w:r>
      <w:hyperlink w:docLocation="table" r:id="rId16">
        <w:r>
          <w:rPr>
            <w:rStyle w:val="Hyperlink"/>
          </w:rPr>
          <w:t>1343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278F.HTM" TargetMode="External" Id="rId14" /><Relationship Type="http://schemas.openxmlformats.org/officeDocument/2006/relationships/hyperlink" Target="http://www.legis.state.tx.us/tlodocs/81R/billtext/html/HB03186F.HTM" TargetMode="External" Id="rId15" /><Relationship Type="http://schemas.openxmlformats.org/officeDocument/2006/relationships/hyperlink" Target="http://www.legis.state.tx.us/tlodocs/85R/billtext/html/SB01343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