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11.  PERSONAL IDENTITY INFORMATION</w:t>
      </w:r>
    </w:p>
    <w:p w:rsidR="003F3435" w:rsidRDefault="0032493E">
      <w:pPr>
        <w:spacing w:line="480" w:lineRule="auto"/>
        <w:jc w:val="center"/>
      </w:pPr>
      <w:r>
        <w:t xml:space="preserve">SUBTITLE A.  IDENTIFYING INFORMATION</w:t>
      </w:r>
    </w:p>
    <w:p w:rsidR="003F3435" w:rsidRDefault="0032493E">
      <w:pPr>
        <w:spacing w:line="480" w:lineRule="auto"/>
        <w:jc w:val="center"/>
      </w:pPr>
      <w:r>
        <w:t xml:space="preserve">CHAPTER 504.  PROHIBITED USE OF CRIME VICTIM OR MOTOR VEHICLE COLLISION INFORMATION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504.001.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"Crime victim information" means information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collected or prepared by a law enforcement agency;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identifies or serves to identify a person who, according to a record of the agency, may have been the victim of a crime in which: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physical injury to the person occurred or was attempted;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the offender entered or attempted to enter the dwelling of the person.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"Motor vehicle collision information" means information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collected or prepared by a law enforcement agency;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identifies or serves to identify a person who, according to a record of the agency, may have been involved in a motor vehicle collision.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709 (H.B. </w:t>
      </w:r>
      <w:hyperlink w:docLocation="table" r:id="rId15">
        <w:r>
          <w:rPr>
            <w:rStyle w:val="Hyperlink"/>
          </w:rPr>
          <w:t>2190</w:t>
        </w:r>
      </w:hyperlink>
      <w:r>
        <w:t xml:space="preserve">), Sec. 110,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504.002.</w:t>
      </w:r>
      <w:r xml:space="preserve">
        <w:t> </w:t>
      </w:r>
      <w:r xml:space="preserve">
        <w:t> </w:t>
      </w:r>
      <w:r>
        <w:t xml:space="preserve">PROHIBITION ON USE FOR SOLICITATION OR SALE OF INFORMATION.  (a)</w:t>
      </w:r>
      <w:r xml:space="preserve">
        <w:t> </w:t>
      </w:r>
      <w:r xml:space="preserve">
        <w:t> </w:t>
      </w:r>
      <w:r>
        <w:t xml:space="preserve">A person who possesses crime victim or motor vehicle collision information that the person obtained or knows was obtained from a law enforcement agency may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use the information to contact directly any of the following persons for the purpose of soliciting business from the person: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crime victim;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was involved in a motor vehicle collision;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member of the family of a person described by Paragraph (A) or (B);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sell the information to another person for financial gain.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attorney general may bring an action against a person who violates Subsection (a) pursuant to Section </w:t>
      </w:r>
      <w:r>
        <w:t xml:space="preserve">17.47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person commits an offense if the person violates Subsection (a).</w:t>
      </w:r>
      <w:r xml:space="preserve">
        <w:t> </w:t>
      </w:r>
      <w:r xml:space="preserve">
        <w:t> </w:t>
      </w:r>
      <w:r>
        <w:t xml:space="preserve">An offense under this subsection is a Class C misdemeanor unless the defendant has been previously convicted under this section three or more times, in which event the offense is a felony of the third degree.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709 (H.B. </w:t>
      </w:r>
      <w:hyperlink w:docLocation="table" r:id="rId17">
        <w:r>
          <w:rPr>
            <w:rStyle w:val="Hyperlink"/>
          </w:rPr>
          <w:t>2190</w:t>
        </w:r>
      </w:hyperlink>
      <w:r>
        <w:t xml:space="preserve">), Sec. 111,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8R/billtext/html/HB02190F.HTM" TargetMode="External" Id="rId15" /><Relationship Type="http://schemas.openxmlformats.org/officeDocument/2006/relationships/hyperlink" Target="http://capitol.texas.gov/tlodocs/80R/billtext/html/HB02278F.HTM" TargetMode="External" Id="rId16" /><Relationship Type="http://schemas.openxmlformats.org/officeDocument/2006/relationships/hyperlink" Target="http://capitol.texas.gov/tlodocs/88R/billtext/html/HB02190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