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11.  PERSONAL IDENTITY INFORMATION</w:t>
      </w:r>
    </w:p>
    <w:p w:rsidR="003F3435" w:rsidRDefault="0032493E">
      <w:pPr>
        <w:spacing w:line="480" w:lineRule="auto"/>
        <w:jc w:val="center"/>
      </w:pPr>
      <w:r>
        <w:t xml:space="preserve">SUBTITLE C. CONSUMER DATA PROTECTION</w:t>
      </w:r>
    </w:p>
    <w:p w:rsidR="003F3435" w:rsidRDefault="0032493E">
      <w:pPr>
        <w:spacing w:line="480" w:lineRule="auto"/>
        <w:jc w:val="center"/>
      </w:pPr>
      <w:r>
        <w:t xml:space="preserve">CHAPTER 542.  CYBERSECURITY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"Breach of system security" has the meaning assigned by Section </w:t>
      </w:r>
      <w:r>
        <w:t xml:space="preserve">521.053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"Exemplary damages" has the meaning assigned by Section </w:t>
      </w:r>
      <w:r>
        <w:t xml:space="preserve">41.001</w:t>
      </w:r>
      <w:r>
        <w:t xml:space="preserve">, Civil Practice and Remedies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"Personal identifying information" and "sensitive personal information" have the meanings assigned by Section </w:t>
      </w:r>
      <w:r>
        <w:t xml:space="preserve">521.002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1029 (S.B. </w:t>
      </w:r>
      <w:hyperlink w:docLocation="table" r:id="rId14">
        <w:r>
          <w:rPr>
            <w:rStyle w:val="Hyperlink"/>
          </w:rPr>
          <w:t>2610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542.002.</w:t>
      </w:r>
      <w:r xml:space="preserve">
        <w:t> </w:t>
      </w:r>
      <w:r xml:space="preserve">
        <w:t> </w:t>
      </w:r>
      <w:r>
        <w:t xml:space="preserve">APPLICABILITY OF CHAPTER.</w:t>
      </w:r>
      <w:r xml:space="preserve">
        <w:t> </w:t>
      </w:r>
      <w:r xml:space="preserve">
        <w:t> </w:t>
      </w:r>
      <w:r>
        <w:t xml:space="preserve">This chapter applies only to a business entity in this state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fewer than 250 employees;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owns or licenses computerized data that includes sensitive personal information.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1029 (S.B. </w:t>
      </w:r>
      <w:hyperlink w:docLocation="table" r:id="rId15">
        <w:r>
          <w:rPr>
            <w:rStyle w:val="Hyperlink"/>
          </w:rPr>
          <w:t>2610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542.003.</w:t>
      </w:r>
      <w:r xml:space="preserve">
        <w:t> </w:t>
      </w:r>
      <w:r xml:space="preserve">
        <w:t> </w:t>
      </w:r>
      <w:r>
        <w:t xml:space="preserve">CYBERSECURITY PROGRAM SAFE HARBOR: EXEMPLARY DAMAGES PROHIBITED.</w:t>
      </w:r>
      <w:r xml:space="preserve">
        <w:t> </w:t>
      </w:r>
      <w:r xml:space="preserve">
        <w:t> </w:t>
      </w:r>
      <w:r>
        <w:t xml:space="preserve">Notwithstanding any other law, in an action arising from a breach of system security, a person harmed as a result of the breach may not recover exemplary damages from a business entity to which this chapter applies if the entity demonstrates that at the time of the breach the entity implemented and maintained a cybersecurity program in compliance with Section </w:t>
      </w:r>
      <w:r>
        <w:t xml:space="preserve">542.004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1029 (S.B. </w:t>
      </w:r>
      <w:hyperlink w:docLocation="table" r:id="rId16">
        <w:r>
          <w:rPr>
            <w:rStyle w:val="Hyperlink"/>
          </w:rPr>
          <w:t>2610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542.004.</w:t>
      </w:r>
      <w:r xml:space="preserve">
        <w:t> </w:t>
      </w:r>
      <w:r xml:space="preserve">
        <w:t> </w:t>
      </w:r>
      <w:r>
        <w:t xml:space="preserve">CYBERSECURITY PROGRAM.  (a)</w:t>
      </w:r>
      <w:r xml:space="preserve">
        <w:t> </w:t>
      </w:r>
      <w:r xml:space="preserve">
        <w:t> </w:t>
      </w:r>
      <w:r>
        <w:t xml:space="preserve">For purposes of Section </w:t>
      </w:r>
      <w:r>
        <w:t xml:space="preserve">542.003</w:t>
      </w:r>
      <w:r>
        <w:t xml:space="preserve">, a cybersecurity program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contain administrative, technical, and physical safeguards for the protection of personal identifying information and sensitive personal information;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conform to an industry-recognized cybersecurity framework as described by Subsection (b);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be designed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protect the security of personal identifying information and sensitive personal information;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protect against any threat or hazard to the integrity of personal identifying information and sensitive personal information;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protect against unauthorized access to or acquisition of personal identifying information and sensitive personal information that would result in a material risk of identity theft or other fraud to the individual to whom the information relates;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with regard to the scale and scope, meet the following requirements: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for a business entity with fewer than 20 employees, simplified requirements, including password policies and appropriate employee cybersecurity training;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a business entity with at least 20 employees but fewer than 100 employees, moderate requirements, including the requirements of the Center for Internet Security Controls Implementation Group 1;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a business entity with at least 100 employees but fewer than 250 employees, compliance with the requirements of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cybersecurity program under this section conforms to an industry-recognized cybersecurity framework for purposes of this section if the program conforms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current version of or any combination of current versions of the following: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Framework for Improving Critical Infrastructure Cybersecurity published by the National Institute of Standards and Technology (NIST);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NIST's special publication 800-171;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NIST's special publications 800-53 and 800-53a;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Federal Risk and Authorization Management Program's FedRAMP Security Assessment Framework;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Center for Internet Security Critical Security Controls for Effective Cyber Defense;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ISO/IEC 27000-series information security standards published by the International Organization for Standardization and the International Electrotechnical Commission;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the Health Information Trust Alliance's Common Security Framework;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the Secure Controls Framework;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the Service Organization Control Type 2 Framework;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(J)</w:t>
      </w:r>
      <w:r xml:space="preserve">
        <w:t> </w:t>
      </w:r>
      <w:r xml:space="preserve">
        <w:t> </w:t>
      </w:r>
      <w:r>
        <w:t xml:space="preserve">other similar frameworks or standards of the cybersecurity industry;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the business entity is subject to its requirements, the current version of the following: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Health Insurance Portability and Accountability Act of 1996 (42 U.S.C. Section 1320d et seq.);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Title V, Gramm-Leach-Bliley Act (15 U.S.C. Section 6801 et seq.);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Federal Information Security Modernization Act of 2014 (Pub. L. No. 113-283);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Health Information Technology for Economic and Clinical Health Act (Division A, Title XIII, and Division B, Title IV, Pub. L. No. 111-5);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if applicable to the business entity, a current version of the Payment Card Industry Data Security Standard.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any standard described by Subsection (b)(1) is published and updated, a business entity's cybersecurity program continues to meet the requirements of a program under this section if the entity updates the program to meet the updated standard not later than the later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implementation date published in the updated standard;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first anniversary of the date on which the updated standard is published.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1029 (S.B. </w:t>
      </w:r>
      <w:hyperlink w:docLocation="table" r:id="rId17">
        <w:r>
          <w:rPr>
            <w:rStyle w:val="Hyperlink"/>
          </w:rPr>
          <w:t>2610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542.005.</w:t>
      </w:r>
      <w:r xml:space="preserve">
        <w:t> </w:t>
      </w:r>
      <w:r xml:space="preserve">
        <w:t> </w:t>
      </w:r>
      <w:r>
        <w:t xml:space="preserve">CONSTRUCTION OF CHAPTER; NO PRIVATE CAUSE OF ACTION.</w:t>
      </w:r>
      <w:r xml:space="preserve">
        <w:t> </w:t>
      </w:r>
      <w:r xml:space="preserve">
        <w:t> </w:t>
      </w:r>
      <w:r>
        <w:t xml:space="preserve">This chapter may not be construed to create a private cause of action or change a common law or statutory duty.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1029 (S.B. </w:t>
      </w:r>
      <w:hyperlink w:docLocation="table" r:id="rId18">
        <w:r>
          <w:rPr>
            <w:rStyle w:val="Hyperlink"/>
          </w:rPr>
          <w:t>2610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2610F.HTM" TargetMode="External" Id="rId14" /><Relationship Type="http://schemas.openxmlformats.org/officeDocument/2006/relationships/hyperlink" Target="http://capitol.texas.gov/tlodocs/89R/billtext/html/SB02610F.HTM" TargetMode="External" Id="rId15" /><Relationship Type="http://schemas.openxmlformats.org/officeDocument/2006/relationships/hyperlink" Target="http://capitol.texas.gov/tlodocs/89R/billtext/html/SB02610F.HTM" TargetMode="External" Id="rId16" /><Relationship Type="http://schemas.openxmlformats.org/officeDocument/2006/relationships/hyperlink" Target="http://capitol.texas.gov/tlodocs/89R/billtext/html/SB02610F.HTM" TargetMode="External" Id="rId17" /><Relationship Type="http://schemas.openxmlformats.org/officeDocument/2006/relationships/hyperlink" Target="http://capitol.texas.gov/tlodocs/89R/billtext/html/SB02610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