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12.  RIGHTS AND DUTIES OF CONSUMERS AND MERCHANTS</w:t>
      </w:r>
    </w:p>
    <w:p w:rsidR="003F3435" w:rsidRDefault="0032493E">
      <w:pPr>
        <w:spacing w:line="480" w:lineRule="auto"/>
        <w:jc w:val="center"/>
      </w:pPr>
      <w:r>
        <w:t xml:space="preserve">CHAPTER 608. MANUFACTURER'S WARRANTIES ON AIR CONDITIONING SYSTEMS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"Air conditioning system" means a heating, ventilation, and air conditioning system that provides heating and cooling to a building.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"Residential real property" has the meaning assigned by Section </w:t>
      </w:r>
      <w:r>
        <w:t xml:space="preserve">22.001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"Warrantor" means a person who is contractually obligated to repair or replace a product under a warranty agreement. 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815 (H.B. </w:t>
      </w:r>
      <w:hyperlink w:docLocation="table" r:id="rId14">
        <w:r>
          <w:rPr>
            <w:rStyle w:val="Hyperlink"/>
          </w:rPr>
          <w:t>2110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608.002.</w:t>
      </w:r>
      <w:r xml:space="preserve">
        <w:t> </w:t>
      </w:r>
      <w:r xml:space="preserve">
        <w:t> </w:t>
      </w:r>
      <w:r>
        <w:t xml:space="preserve">TRANSFER OF MANUFACTURER'S WARRANTY.</w:t>
      </w:r>
      <w:r xml:space="preserve">
        <w:t> </w:t>
      </w:r>
      <w:r>
        <w:t xml:space="preserve">(a) If residential real property that includes an air conditioning system as a fixture to the property is conveyed to a new owner, a manufacturer's warranty in effect on that system or a component of that system on the date of the conveyance: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automatically transferred to the new owner;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continues in effect as if the new owner was the original purchaser of the system or component,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warrantor continues to be obligated under the terms of a manufacturer's warranty agreement for a warranty transferred under this section and may not charge a fee for the transfer of the warranty.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transfer of a manufacturer's warranty under this section does not extend the original term of the warranty agreement.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815 (H.B. </w:t>
      </w:r>
      <w:hyperlink w:docLocation="table" r:id="rId15">
        <w:r>
          <w:rPr>
            <w:rStyle w:val="Hyperlink"/>
          </w:rPr>
          <w:t>2110</w:t>
        </w:r>
      </w:hyperlink>
      <w:r>
        <w:t xml:space="preserve">), Sec. 1,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2110F.HTM" TargetMode="External" Id="rId14" /><Relationship Type="http://schemas.openxmlformats.org/officeDocument/2006/relationships/hyperlink" Target="http://capitol.texas.gov/tlodocs/87R/billtext/html/HB0211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