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5.  REGULATION OF BUSINESSES AND SERVICES</w:t>
      </w:r>
    </w:p>
    <w:p w:rsidR="003F3435" w:rsidRDefault="0032493E">
      <w:pPr>
        <w:spacing w:line="480" w:lineRule="auto"/>
        <w:jc w:val="center"/>
      </w:pPr>
      <w:r>
        <w:t xml:space="preserve">SUBTITLE A.  GENERAL PRACTICES</w:t>
      </w:r>
    </w:p>
    <w:p w:rsidR="003F3435" w:rsidRDefault="0032493E">
      <w:pPr>
        <w:spacing w:line="480" w:lineRule="auto"/>
        <w:jc w:val="center"/>
      </w:pPr>
      <w:r>
        <w:t xml:space="preserve">CHAPTER 72.  BUSINESS RECORDS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DISPOSAL OF CERTAIN BUSINESS RECORDS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72.001.</w:t>
      </w:r>
      <w:r xml:space="preserve">
        <w:t> </w:t>
      </w:r>
      <w:r xml:space="preserve">
        <w:t> </w:t>
      </w:r>
      <w:r>
        <w:t xml:space="preserve">DEFINITIONS. 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"Business record" means letters, words, sounds, or numbers, or the equivalent of letters, words, sounds, or numbers, recorded in the operation of a business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handwriting;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typewriting;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printing;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photostat;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photograph;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magnetic impulse;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mechanical or electronic recording;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(H)</w:t>
      </w:r>
      <w:r xml:space="preserve">
        <w:t> </w:t>
      </w:r>
      <w:r xml:space="preserve">
        <w:t> </w:t>
      </w:r>
      <w:r>
        <w:t xml:space="preserve">digitized optical image;</w:t>
      </w:r>
      <w:r xml:space="preserve">
        <w:t> </w:t>
      </w:r>
      <w:r xml:space="preserve">
        <w:t> </w:t>
      </w:r>
      <w:r>
        <w:t xml:space="preserve">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another form of data compilation.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"Personal identifying information" means an individual's first name or initial and last name in combination with one or more of the following: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date of birth;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social security number or other government-issued identification number;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mother's maiden name;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unique biometric data, including the individual's fingerprint, voice data, or retina or iris image;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unique electronic identification number, address, or routing code;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telecommunication access device as defined by Section </w:t>
      </w:r>
      <w:r>
        <w:t xml:space="preserve">32.51</w:t>
      </w:r>
      <w:r>
        <w:t xml:space="preserve">, Penal Code, including debit or credit card information;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financial institution account number or any other financial information.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"Reproduction" means a counterpart of an original business record produced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production from the same impression or the same matrix as the original;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photography, including an enlargement or miniature;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mechanical or electronic rerecording;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chemical reproduction;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digitized optical imaging;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another technique that accurately reproduces the original.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72.002.</w:t>
      </w:r>
      <w:r xml:space="preserve">
        <w:t> </w:t>
      </w:r>
      <w:r xml:space="preserve">
        <w:t> </w:t>
      </w:r>
      <w:r>
        <w:t xml:space="preserve">DESTRUCTION OF CERTAIN BUSINESS RECORDS.  (a)  A business record required to be retained by a law of this state may be destroyed at any time after the third anniversary of the date the business record was created.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 does not apply if a law or rule applicable to the business record prescribes a different retention period or procedure for disposal.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5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72.003</w:t>
      </w:r>
      <w:r>
        <w:t xml:space="preserve">.</w:t>
      </w:r>
      <w:r xml:space="preserve">
        <w:t> </w:t>
      </w:r>
      <w:r xml:space="preserve">
        <w:t> </w:t>
      </w:r>
      <w:r>
        <w:t xml:space="preserve">RETENTION OF REPRODUCTION OF BUSINESS RECORDS. A law of this state that requires retention of a business record is satisfied by retention of a reproduction of the original record.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6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72.004.</w:t>
      </w:r>
      <w:r xml:space="preserve">
        <w:t> </w:t>
      </w:r>
      <w:r xml:space="preserve">
        <w:t> </w:t>
      </w:r>
      <w:r>
        <w:t xml:space="preserve">DISPOSAL OF BUSINESS RECORDS CONTAINING PERSONAL IDENTIFYING INFORMATION.  (a)  This section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financial institution as defined by 15 U.S.C. Section 6809;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covered entity as defined by Section </w:t>
      </w:r>
      <w:r>
        <w:t xml:space="preserve">601.001</w:t>
      </w:r>
      <w:r>
        <w:t xml:space="preserve"> or </w:t>
      </w:r>
      <w:r>
        <w:t xml:space="preserve">602.001</w:t>
      </w:r>
      <w:r>
        <w:t xml:space="preserve">, Insurance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When a business disposes of a business record that contains personal identifying information of a customer of the business, the business shall modify, by shredding, erasing, or other means, the personal identifying information so as to make the information unreadable or undecipherable.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business is considered to comply with Subsection (b) if the business contracts with a person engaged in the business of disposing of records for the modification of personal identifying information on behalf of the business in accordance with that subsection.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business that disposes of a business record without</w:t>
      </w:r>
      <w:r xml:space="preserve">
        <w:t> </w:t>
      </w:r>
      <w:r xml:space="preserve">
        <w:t> </w:t>
      </w:r>
      <w:r>
        <w:t xml:space="preserve">complying with Subsection (b) is liable for a civil penalty in an amount not to exceed $500 for each business record.</w:t>
      </w:r>
      <w:r xml:space="preserve">
        <w:t> </w:t>
      </w:r>
      <w:r xml:space="preserve">
        <w:t> </w:t>
      </w:r>
      <w:r>
        <w:t xml:space="preserve">The attorney general may bring an action against the business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recover the civil penalty;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obtain any other remedy, including injunctive relief;</w:t>
      </w:r>
      <w:r xml:space="preserve">
        <w:t> </w:t>
      </w:r>
      <w:r xml:space="preserve">
        <w:t> </w:t>
      </w:r>
      <w:r>
        <w:t xml:space="preserve">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recover costs and reasonable attorney's fees incurred in bringing the action.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business that in good faith modifies a business record as required by Subsection (b) is not liable for a civil penalty under Subsection (d) if the business record is reconstructed, wholly or partly, through extraordinary means.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Subsection (b) does not require a business to modify a business record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business is required to retain the business record under another law;</w:t>
      </w:r>
      <w:r xml:space="preserve">
        <w:t> </w:t>
      </w:r>
      <w:r xml:space="preserve">
        <w:t> </w:t>
      </w:r>
      <w:r>
        <w:t xml:space="preserve">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business record is historically significant and: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there is no potential for identity theft or fraud while the business retains custody of the business record;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business record is transferred to a professionally managed historical repository.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7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DELETION OF CERTAIN RECORDS OR INFORMATION RELATING TO CUSTOMERS' CHECKS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72.051.</w:t>
      </w:r>
      <w:r xml:space="preserve">
        <w:t> </w:t>
      </w:r>
      <w:r xml:space="preserve">
        <w:t> </w:t>
      </w:r>
      <w:r>
        <w:t xml:space="preserve">REQUIRED DELETION OF CERTAIN ELECTRONIC RECORDS.  (a)  In this section, "law enforcement agency" has the meaning assigned by Article </w:t>
      </w:r>
      <w:r>
        <w:t xml:space="preserve">59.01</w:t>
      </w:r>
      <w:r>
        <w:t xml:space="preserve">, Code of Criminal Procedure.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applies only to a business that accepts checks from customers in the ordinary course of business.</w:t>
      </w:r>
      <w:r xml:space="preserve">
        <w:t> </w:t>
      </w:r>
      <w:r xml:space="preserve">
        <w:t> </w:t>
      </w:r>
      <w:r>
        <w:t xml:space="preserve">This section does not apply to a financial institution as defined by 31 U.S.C. Section 5312(a)(2), as amended.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business shall delete any electronic record indicating that a customer has issued a dishonored check or any other information except for a checking account number or bank routing transit number on which the business bases a refusal to accept a check from a customer.</w:t>
      </w:r>
      <w:r xml:space="preserve">
        <w:t> </w:t>
      </w:r>
      <w:r xml:space="preserve">
        <w:t> </w:t>
      </w:r>
      <w:r>
        <w:t xml:space="preserve">The record must be deleted not later than the 30th day after the date: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customer and the business agree that the information contained in the electronic record is incorrect;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customer presents to the business: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copy of a report filed by the customer with a law enforcement agency stating that the dishonored check was unauthorized;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written statement of the customer indicating that the dishonored check was unauthorized.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business that violates Subsection (c) is liable to this state for a civil penalty in an amount not to exceed $1,000.</w:t>
      </w:r>
      <w:r xml:space="preserve">
        <w:t> </w:t>
      </w:r>
      <w:r xml:space="preserve">
        <w:t> </w:t>
      </w:r>
      <w:r>
        <w:t xml:space="preserve">The attorney general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bring an action to recover the civil penalty;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recover reasonable expenses incurred in recovering the penalty, including court costs, reasonable attorney's fees, investigative costs, witness fees, and deposition expenses.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8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0R/billtext/html/HB02278F.HTM" TargetMode="External" Id="rId15" /><Relationship Type="http://schemas.openxmlformats.org/officeDocument/2006/relationships/hyperlink" Target="http://capitol.texas.gov/tlodocs/80R/billtext/html/HB02278F.HTM" TargetMode="External" Id="rId16" /><Relationship Type="http://schemas.openxmlformats.org/officeDocument/2006/relationships/hyperlink" Target="http://capitol.texas.gov/tlodocs/80R/billtext/html/HB02278F.HTM" TargetMode="External" Id="rId17" /><Relationship Type="http://schemas.openxmlformats.org/officeDocument/2006/relationships/hyperlink" Target="http://capitol.texas.gov/tlodocs/80R/billtext/html/HB02278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