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FAMILY CODE</w:t>
      </w:r>
    </w:p>
    <w:p w:rsidR="003F3435" w:rsidRDefault="0032493E">
      <w:pPr>
        <w:spacing w:line="480" w:lineRule="auto"/>
        <w:jc w:val="center"/>
      </w:pPr>
      <w:r>
        <w:t xml:space="preserve">TITLE 5. THE PARENT-CHILD RELATIONSHIP AND THE SUIT AFFECTING THE PARENT-CHILD RELATIONSHIP</w:t>
      </w:r>
    </w:p>
    <w:p w:rsidR="003F3435" w:rsidRDefault="0032493E">
      <w:pPr>
        <w:spacing w:line="480" w:lineRule="auto"/>
        <w:jc w:val="center"/>
      </w:pPr>
      <w:r>
        <w:t xml:space="preserve">SUBTITLE C. JUDICIAL RESOURCES AND SERVICES</w:t>
      </w:r>
    </w:p>
    <w:p w:rsidR="003F3435" w:rsidRDefault="0032493E">
      <w:pPr>
        <w:spacing w:line="480" w:lineRule="auto"/>
        <w:jc w:val="center"/>
      </w:pPr>
      <w:r>
        <w:t xml:space="preserve">CHAPTER 202. FRIEND OF THE COURT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202.001.</w:t>
      </w:r>
      <w:r xml:space="preserve">
        <w:t> </w:t>
      </w:r>
      <w:r xml:space="preserve">
        <w:t> </w:t>
      </w:r>
      <w:r>
        <w:t xml:space="preserve">APPOINTMENT.  (a)  After an order for child support or possession of or access to a child has been rendered, a court may appoint a friend of the court 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request of a person alleging that the order has been violated;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its own motion.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court may appoint a friend of the court in a proceeding under Part D of Title IV of the federal Social Security Act (42 U.S.C. Section 651 et seq.) only if the Title IV-D agency agrees in writing to the appointment.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duration of the appointment of a friend of the court is as determined by the court.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In the appointment of a friend of the court, the court shall give preference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local domestic relations office;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local child support collection office;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local court official designated to enforce actions as provided in Chapter </w:t>
      </w:r>
      <w:r>
        <w:t xml:space="preserve">159</w:t>
      </w:r>
      <w:r>
        <w:t xml:space="preserve">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an attorney in good standing with the State Bar of Texas.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In the execution of a friend of the court's duties under this subchapter, a friend of the court shall represent the court to ensure compliance with the court's order.</w:t>
      </w:r>
    </w:p>
    <w:p w:rsidR="003F3435" w:rsidRDefault="0032493E">
      <w:pPr>
        <w:spacing w:line="480" w:lineRule="auto"/>
        <w:jc w:val="both"/>
      </w:pPr>
      <w:r>
        <w:t xml:space="preserve">Added by Acts 1995, 74th Leg., ch. 20, Sec. 1, eff. April 20,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202.002.</w:t>
      </w:r>
      <w:r xml:space="preserve">
        <w:t> </w:t>
      </w:r>
      <w:r xml:space="preserve">
        <w:t> </w:t>
      </w:r>
      <w:r>
        <w:t xml:space="preserve">AUTHORITY AND DUTIES.  (a)  A friend of the court may coordinate nonjudicial efforts to improve compliance with a court order relating to child support or possession of or access to a child by use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telephone communication;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written communication;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one or more volunteer advocates under Chapter </w:t>
      </w:r>
      <w:r>
        <w:t xml:space="preserve">107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informal pretrial consultation;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one or more of the alternate dispute resolution methods under Chapter </w:t>
      </w:r>
      <w:r>
        <w:t xml:space="preserve">154</w:t>
      </w:r>
      <w:r>
        <w:t xml:space="preserve">, Civil Practice and Remedies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 licensed social worker;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a family mediator;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employment agencies, retraining programs, and any similar resources to ensure that both parents can meet their financial obligations to the child.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friend of the court, not later than the 15th day of the month following the reporting month: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shall report to the court or monitor reports made to the court on: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amount of child support collected as a percentage of the amount ordered; 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efforts to ensure compliance with orders relating to possession of or access to a child;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may file an action to enforce, clarify, or modify a court order relating to child support or possession of or access to a child.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friend of the court may file a notice of delinquency and a request for a writ of income withholding under Chapter </w:t>
      </w:r>
      <w:r>
        <w:t xml:space="preserve">158</w:t>
      </w:r>
      <w:r>
        <w:t xml:space="preserve"> in order to enforce a child support order.</w:t>
      </w:r>
    </w:p>
    <w:p w:rsidR="003F3435" w:rsidRDefault="0032493E">
      <w:pPr>
        <w:spacing w:line="480" w:lineRule="auto"/>
        <w:jc w:val="both"/>
      </w:pPr>
      <w:r>
        <w:t xml:space="preserve">Added by Acts 1995, 74th Leg., ch. 20, Sec. 1, eff. April 20, 1995.  Amended by Acts 1995, 74th Leg., ch. 751, Sec. 81, eff. Sept. 1, 1995;  Acts 1997, 75th Leg., ch. 702, Sec. 9, eff. Sept. 1, 1997;  Acts 2003, 78th Leg., ch. 892, Sec. 21,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202.003.</w:t>
      </w:r>
      <w:r xml:space="preserve">
        <w:t> </w:t>
      </w:r>
      <w:r xml:space="preserve">
        <w:t> </w:t>
      </w:r>
      <w:r>
        <w:t xml:space="preserve">DUTY OF LOCAL OFFICES AND OFFICIALS TO REPORT.  A local domestic relations office, a local registry, or a court official designated to receive child support under a court order shall, if ordered by the court, report to the court or a friend of the court on a monthly basis: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any delinquency and arrearage in child support payments;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any violation of an order relating to possession of or access to a child.</w:t>
      </w:r>
    </w:p>
    <w:p w:rsidR="003F3435" w:rsidRDefault="0032493E">
      <w:pPr>
        <w:spacing w:line="480" w:lineRule="auto"/>
        <w:jc w:val="both"/>
      </w:pPr>
      <w:r>
        <w:t xml:space="preserve">Added by Acts 1995, 74th Leg., ch. 20, Sec. 1, eff. April 20,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202.004.</w:t>
      </w:r>
      <w:r xml:space="preserve">
        <w:t> </w:t>
      </w:r>
      <w:r xml:space="preserve">
        <w:t> </w:t>
      </w:r>
      <w:r>
        <w:t xml:space="preserve">ACCESS TO INFORMATION.  A friend of the court may arrange access to child support payment records by electronic means if the records are computerized.</w:t>
      </w:r>
    </w:p>
    <w:p w:rsidR="003F3435" w:rsidRDefault="0032493E">
      <w:pPr>
        <w:spacing w:line="480" w:lineRule="auto"/>
        <w:jc w:val="both"/>
      </w:pPr>
      <w:r>
        <w:t xml:space="preserve">Added by Acts 1995, 74th Leg., ch. 20, Sec. 1, eff. April 20,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202.005.</w:t>
      </w:r>
      <w:r xml:space="preserve">
        <w:t> </w:t>
      </w:r>
      <w:r xml:space="preserve">
        <w:t> </w:t>
      </w:r>
      <w:r>
        <w:t xml:space="preserve">COMPENSATION.  (a)  A friend of the court is entitled to compensation for services rendered and for expenses incurred in rendering the services.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court may assess the amount that the friend of the court receives in compensation against a party to the suit in the same manner as the court awards costs under Chapter </w:t>
      </w:r>
      <w:r>
        <w:t xml:space="preserve">106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Repealed by Acts 2019, 86th Leg., R.S., Ch. 1352 (S.B. </w:t>
      </w:r>
      <w:hyperlink w:docLocation="table" r:id="rId14">
        <w:r>
          <w:rPr>
            <w:rStyle w:val="Hyperlink"/>
          </w:rPr>
          <w:t>346</w:t>
        </w:r>
      </w:hyperlink>
      <w:r>
        <w:t xml:space="preserve">), Sec. 4.40(4), eff. January 1, 2020.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Repealed by Acts 2019, 86th Leg., R.S., Ch. 1352 (S.B. </w:t>
      </w:r>
      <w:hyperlink w:docLocation="table" r:id="rId15">
        <w:r>
          <w:rPr>
            <w:rStyle w:val="Hyperlink"/>
          </w:rPr>
          <w:t>346</w:t>
        </w:r>
      </w:hyperlink>
      <w:r>
        <w:t xml:space="preserve">), Sec. 4.40(4), eff. January 1, 2020.</w:t>
      </w:r>
    </w:p>
    <w:p w:rsidR="003F3435" w:rsidRDefault="0032493E">
      <w:pPr>
        <w:spacing w:line="480" w:lineRule="auto"/>
        <w:jc w:val="both"/>
      </w:pPr>
      <w:r>
        <w:t xml:space="preserve">Added by Acts 1995, 74th Leg., ch. 20, Sec. 1, eff. April 20,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1352 (S.B. </w:t>
      </w:r>
      <w:hyperlink w:docLocation="table" r:id="rId16">
        <w:r>
          <w:rPr>
            <w:rStyle w:val="Hyperlink"/>
          </w:rPr>
          <w:t>346</w:t>
        </w:r>
      </w:hyperlink>
      <w:r>
        <w:t xml:space="preserve">), Sec. 4.40(4), eff. January 1, 2020.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SB00346F.HTM" TargetMode="External" Id="rId14" /><Relationship Type="http://schemas.openxmlformats.org/officeDocument/2006/relationships/hyperlink" Target="http://capitol.texas.gov/tlodocs/86R/billtext/html/SB00346F.HTM" TargetMode="External" Id="rId15" /><Relationship Type="http://schemas.openxmlformats.org/officeDocument/2006/relationships/hyperlink" Target="http://capitol.texas.gov/tlodocs/86R/billtext/html/SB00346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