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2. CHILD IN RELATION TO THE FAMILY</w:t>
      </w:r>
    </w:p>
    <w:p w:rsidR="003F3435" w:rsidRDefault="0032493E">
      <w:pPr>
        <w:spacing w:line="480" w:lineRule="auto"/>
        <w:jc w:val="center"/>
      </w:pPr>
      <w:r>
        <w:t xml:space="preserve">SUBTITLE B. PARENTAL LIABILITY</w:t>
      </w:r>
    </w:p>
    <w:p w:rsidR="003F3435" w:rsidRDefault="0032493E">
      <w:pPr>
        <w:spacing w:line="480" w:lineRule="auto"/>
        <w:jc w:val="center"/>
      </w:pPr>
      <w:r>
        <w:t xml:space="preserve">CHAPTER 41. LIABILITY OF PARENTS FOR CONDUCT OF CHILD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41.001.</w:t>
      </w:r>
      <w:r xml:space="preserve">
        <w:t> </w:t>
      </w:r>
      <w:r xml:space="preserve">
        <w:t> </w:t>
      </w:r>
      <w:r>
        <w:t xml:space="preserve">LIABILITY.  A parent or other person who has the duty of control and reasonable discipline of a child is liable for any property damage proximately caused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negligent conduct of the child if the conduct is reasonably attributable to the negligent failure of the parent or other person to exercise that duty;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wilful and malicious conduct of a child who is at least 10 years of age but under 18 years of age.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1995;  Acts 2001, 77th Leg., ch. 587, Sec. 1,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41.002.</w:t>
      </w:r>
      <w:r xml:space="preserve">
        <w:t> </w:t>
      </w:r>
      <w:r xml:space="preserve">
        <w:t> </w:t>
      </w:r>
      <w:r>
        <w:t xml:space="preserve">LIMIT OF DAMAGES.</w:t>
      </w:r>
      <w:r xml:space="preserve">
        <w:t> </w:t>
      </w:r>
      <w:r xml:space="preserve">
        <w:t> </w:t>
      </w:r>
      <w:r>
        <w:t xml:space="preserve">Recovery for damage caused by wilful and malicious conduct is limited to actual damages, not to exceed $25,000 per occurrence, plus reasonable and necessary attorney's fees, court costs, and expenses.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1995;  Acts 1997, 75th Leg., ch. 783, Sec. 1,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593 (H.B. </w:t>
      </w:r>
      <w:hyperlink w:docLocation="table" r:id="rId14">
        <w:r>
          <w:rPr>
            <w:rStyle w:val="Hyperlink"/>
          </w:rPr>
          <w:t>2524</w:t>
        </w:r>
      </w:hyperlink>
      <w:r>
        <w:t xml:space="preserve">), Sec. 13,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41.0025.</w:t>
      </w:r>
      <w:r xml:space="preserve">
        <w:t> </w:t>
      </w:r>
      <w:r xml:space="preserve">
        <w:t> </w:t>
      </w:r>
      <w:r>
        <w:t xml:space="preserve">LIABILITY FOR PROPERTY DAMAGE TO AN INN OR HOTEL.  (a)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41.002</w:t>
      </w:r>
      <w:r>
        <w:t xml:space="preserve">, recovery of damages by an inn or hotel for wilful and malicious conduct is limited to actual damages, not to exceed $25,000 per occurrence, plus reasonable and necessary attorney's fees, court costs, and expenses.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section "occurrence" means one incident on a single day in one hotel room.  The term does not include incidents in separate rooms or incidents that occur on different days.</w:t>
      </w:r>
    </w:p>
    <w:p w:rsidR="003F3435" w:rsidRDefault="0032493E">
      <w:pPr>
        <w:spacing w:line="480" w:lineRule="auto"/>
        <w:jc w:val="both"/>
      </w:pPr>
      <w:r>
        <w:t xml:space="preserve">Added by Acts 1997, 75th Leg., ch. 40, Sec. 1,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593 (H.B. </w:t>
      </w:r>
      <w:hyperlink w:docLocation="table" r:id="rId15">
        <w:r>
          <w:rPr>
            <w:rStyle w:val="Hyperlink"/>
          </w:rPr>
          <w:t>2524</w:t>
        </w:r>
      </w:hyperlink>
      <w:r>
        <w:t xml:space="preserve">), Sec. 14,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41.003.</w:t>
      </w:r>
      <w:r xml:space="preserve">
        <w:t> </w:t>
      </w:r>
      <w:r xml:space="preserve">
        <w:t> </w:t>
      </w:r>
      <w:r>
        <w:t xml:space="preserve">VENUE.  A suit as provided by this chapter may be filed in the county in which the conduct of the child occurred or in the county in which the defendant resides.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2524F.HTM" TargetMode="External" Id="rId14" /><Relationship Type="http://schemas.openxmlformats.org/officeDocument/2006/relationships/hyperlink" Target="http://capitol.texas.gov/tlodocs/89R/billtext/html/HB02524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