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4. PROTECTIVE ORDERS AND FAMILY VIOLENCE</w:t>
      </w:r>
    </w:p>
    <w:p w:rsidR="003F3435" w:rsidRDefault="0032493E">
      <w:pPr>
        <w:spacing w:line="480" w:lineRule="auto"/>
        <w:jc w:val="center"/>
      </w:pPr>
      <w:r>
        <w:t xml:space="preserve">SUBTITLE A. GENERAL PROVISIONS</w:t>
      </w:r>
    </w:p>
    <w:p w:rsidR="003F3435" w:rsidRDefault="0032493E">
      <w:pPr>
        <w:spacing w:line="480" w:lineRule="auto"/>
        <w:jc w:val="center"/>
      </w:pPr>
      <w:r>
        <w:t xml:space="preserve">CHAPTER 71. DEFINITIONS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71.001.</w:t>
      </w:r>
      <w:r xml:space="preserve">
        <w:t> </w:t>
      </w:r>
      <w:r xml:space="preserve">
        <w:t> </w:t>
      </w:r>
      <w:r>
        <w:t xml:space="preserve">APPLICABILITY OF DEFINITIONS.  (a)  Definitions in this chapter apply to this title.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If, in another part of this title, a term defined by this chapter has a meaning different from the meaning provided by this chapter, the meaning of that other provision prevails.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Except as provided by this chapter, the definitions in Chapter </w:t>
      </w:r>
      <w:r>
        <w:t xml:space="preserve">101</w:t>
      </w:r>
      <w:r>
        <w:t xml:space="preserve"> apply to terms used in this title.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71.002.</w:t>
      </w:r>
      <w:r xml:space="preserve">
        <w:t> </w:t>
      </w:r>
      <w:r xml:space="preserve">
        <w:t> </w:t>
      </w:r>
      <w:r>
        <w:t xml:space="preserve">COURT.  "Court" means the district court, court of domestic relations, juvenile court having the jurisdiction of a district court, statutory county court, constitutional county court, or other court expressly given jurisdiction under this title.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  Amended by Acts 1997, 75th Leg., ch. 1220,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71.0021.</w:t>
      </w:r>
      <w:r xml:space="preserve">
        <w:t> </w:t>
      </w:r>
      <w:r xml:space="preserve">
        <w:t> </w:t>
      </w:r>
      <w:r>
        <w:t xml:space="preserve">DATING VIOLENCE.  (a)</w:t>
      </w:r>
      <w:r xml:space="preserve">
        <w:t> </w:t>
      </w:r>
      <w:r xml:space="preserve">
        <w:t> </w:t>
      </w:r>
      <w:r>
        <w:t xml:space="preserve">"Dating violence" means an act, other than a defensive measure to protect oneself, by an actor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committed against a victim or applicant for a protective order: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 whom the actor has or has had a dating relationship;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because of the victim's or applicant's marriage to or dating relationship with an individual with whom the actor is or has been in a dating relationship or marriage;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intended to result in physical harm, bodily injury, assault, or sexual assault or that is a threat that reasonably places the victim or applicant in fear of imminent physical harm, bodily injury, assault, or sexual assault.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purposes of this title, "dating relationship" means a relationship between individuals who have or have had a continuing relationship of a romantic or intimate nature.  The existence of such a relationship shall be determined based on consideration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length of the relationship;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nature of the relationship;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frequency and type of interaction between the persons involved in the relationship.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casual acquaintanceship or ordinary fraternization in a business or social context does not constitute a "dating relationship" under Subsection (b).</w:t>
      </w:r>
    </w:p>
    <w:p w:rsidR="003F3435" w:rsidRDefault="0032493E">
      <w:pPr>
        <w:spacing w:line="480" w:lineRule="auto"/>
        <w:jc w:val="both"/>
      </w:pPr>
      <w:r>
        <w:t xml:space="preserve">Added by Acts 2001, 77th Leg., ch. 91, Sec. 1, eff. Sept. 1, 2001.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872 (S.B. </w:t>
      </w:r>
      <w:hyperlink w:docLocation="table" r:id="rId14">
        <w:r>
          <w:rPr>
            <w:rStyle w:val="Hyperlink"/>
          </w:rPr>
          <w:t>116</w:t>
        </w:r>
      </w:hyperlink>
      <w:r>
        <w:t xml:space="preserve">), Sec. 2, eff. June 17, 2011.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117 (S.B. </w:t>
      </w:r>
      <w:hyperlink w:docLocation="table" r:id="rId15">
        <w:r>
          <w:rPr>
            <w:rStyle w:val="Hyperlink"/>
          </w:rPr>
          <w:t>817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71.003.</w:t>
      </w:r>
      <w:r xml:space="preserve">
        <w:t> </w:t>
      </w:r>
      <w:r xml:space="preserve">
        <w:t> </w:t>
      </w:r>
      <w:r>
        <w:t xml:space="preserve">FAMILY.  "Family" includes individuals related by consanguinity or affinity, as determined under Sections </w:t>
      </w:r>
      <w:r>
        <w:t xml:space="preserve">573.022</w:t>
      </w:r>
      <w:r>
        <w:t xml:space="preserve"> and </w:t>
      </w:r>
      <w:r>
        <w:t xml:space="preserve">573.024</w:t>
      </w:r>
      <w:r>
        <w:t xml:space="preserve">, Government Code, individuals who are former spouses of each other, individuals who are the parents of the same child, without regard to marriage, and a foster child and foster parent, without regard to whether those individuals reside together.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  Amended by Acts 2001, 77th Leg., ch. 821, Sec. 2.03, eff. June 14,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71.004.</w:t>
      </w:r>
      <w:r xml:space="preserve">
        <w:t> </w:t>
      </w:r>
      <w:r xml:space="preserve">
        <w:t> </w:t>
      </w:r>
      <w:r>
        <w:t xml:space="preserve">FAMILY VIOLENCE.</w:t>
      </w:r>
      <w:r xml:space="preserve">
        <w:t> </w:t>
      </w:r>
      <w:r xml:space="preserve">
        <w:t> </w:t>
      </w:r>
      <w:r>
        <w:t xml:space="preserve">"Family violence" means: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act by a member of a family or household against another member of the family or household that is intended to result in physical harm, bodily injury, assault, or sexual assault or that is a threat that reasonably places the member in fear of imminent physical harm, bodily injury, assault, or sexual assault, but does not include defensive measures to protect oneself;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abuse, as that term is defined by Sections </w:t>
      </w:r>
      <w:r>
        <w:t xml:space="preserve">261.001</w:t>
      </w:r>
      <w:r>
        <w:t xml:space="preserve">(1)(C), (E), (G), (H), (I), (J), (K), and (M), by a member of a family or household toward a child of the family or household;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dating violence, as that term is defined by Section </w:t>
      </w:r>
      <w:r>
        <w:t xml:space="preserve">71.0021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  Amended by Acts 2001, 77th Leg., ch. 91, Sec. 2, eff. Sept. 1, 2001.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117 (S.B. </w:t>
      </w:r>
      <w:hyperlink w:docLocation="table" r:id="rId16">
        <w:r>
          <w:rPr>
            <w:rStyle w:val="Hyperlink"/>
          </w:rPr>
          <w:t>817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319 (S.B. </w:t>
      </w:r>
      <w:hyperlink w:docLocation="table" r:id="rId17">
        <w:r>
          <w:rPr>
            <w:rStyle w:val="Hyperlink"/>
          </w:rPr>
          <w:t>11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1136 (H.B. </w:t>
      </w:r>
      <w:hyperlink w:docLocation="table" r:id="rId18">
        <w:r>
          <w:rPr>
            <w:rStyle w:val="Hyperlink"/>
          </w:rPr>
          <w:t>249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71.005.</w:t>
      </w:r>
      <w:r xml:space="preserve">
        <w:t> </w:t>
      </w:r>
      <w:r xml:space="preserve">
        <w:t> </w:t>
      </w:r>
      <w:r>
        <w:t xml:space="preserve">HOUSEHOLD.  "Household" means a unit composed of persons living together in the same dwelling, without regard to whether they are related to each other.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71.006.</w:t>
      </w:r>
      <w:r xml:space="preserve">
        <w:t> </w:t>
      </w:r>
      <w:r xml:space="preserve">
        <w:t> </w:t>
      </w:r>
      <w:r>
        <w:t xml:space="preserve">MEMBER OF A HOUSEHOLD.  "Member of a household" includes a person who previously lived in a household.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71.007.</w:t>
      </w:r>
      <w:r xml:space="preserve">
        <w:t> </w:t>
      </w:r>
      <w:r xml:space="preserve">
        <w:t> </w:t>
      </w:r>
      <w:r>
        <w:t xml:space="preserve">PROSECUTING ATTORNEY.  "Prosecuting attorney" means the attorney, determined as provided in this title, who represents the state in a district or statutory county court in the county in which venue of the application for a protective order is proper.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0116F.HTM" TargetMode="External" Id="rId14" /><Relationship Type="http://schemas.openxmlformats.org/officeDocument/2006/relationships/hyperlink" Target="http://capitol.texas.gov/tlodocs/84R/billtext/html/SB00817F.HTM" TargetMode="External" Id="rId15" /><Relationship Type="http://schemas.openxmlformats.org/officeDocument/2006/relationships/hyperlink" Target="http://capitol.texas.gov/tlodocs/84R/billtext/html/SB00817F.HTM" TargetMode="External" Id="rId16" /><Relationship Type="http://schemas.openxmlformats.org/officeDocument/2006/relationships/hyperlink" Target="http://capitol.texas.gov/tlodocs/85R/billtext/html/SB00011F.HTM" TargetMode="External" Id="rId17" /><Relationship Type="http://schemas.openxmlformats.org/officeDocument/2006/relationships/hyperlink" Target="http://capitol.texas.gov/tlodocs/85R/billtext/html/HB00249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