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FAMILY CODE</w:t>
      </w:r>
    </w:p>
    <w:p w:rsidR="003F3435" w:rsidRDefault="0032493E">
      <w:pPr>
        <w:spacing w:line="480" w:lineRule="auto"/>
        <w:jc w:val="center"/>
      </w:pPr>
      <w:r>
        <w:t xml:space="preserve">TITLE 4. PROTECTIVE ORDERS AND FAMILY VIOLENCE</w:t>
      </w:r>
    </w:p>
    <w:p w:rsidR="003F3435" w:rsidRDefault="0032493E">
      <w:pPr>
        <w:spacing w:line="480" w:lineRule="auto"/>
        <w:jc w:val="center"/>
      </w:pPr>
      <w:r>
        <w:t xml:space="preserve">SUBTITLE C.  FAMILY VIOLENCE REPORTING AND SERVICES</w:t>
      </w:r>
    </w:p>
    <w:p w:rsidR="003F3435" w:rsidRDefault="0032493E">
      <w:pPr>
        <w:spacing w:line="480" w:lineRule="auto"/>
        <w:jc w:val="center"/>
      </w:pPr>
      <w:r>
        <w:t xml:space="preserve">CHAPTER 92. IMMUNITY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92.001.</w:t>
      </w:r>
      <w:r xml:space="preserve">
        <w:t> </w:t>
      </w:r>
      <w:r xml:space="preserve">
        <w:t> </w:t>
      </w:r>
      <w:r>
        <w:t xml:space="preserve">IMMUNITY.  (a)  Except as provided by Subsection (b), a person who reports family violence under Section </w:t>
      </w:r>
      <w:r>
        <w:t xml:space="preserve">91.002</w:t>
      </w:r>
      <w:r>
        <w:t xml:space="preserve"> or provides information under Section </w:t>
      </w:r>
      <w:r>
        <w:t xml:space="preserve">91.003</w:t>
      </w:r>
      <w:r>
        <w:t xml:space="preserve"> is immune from civil liability that might otherwise be incurred or imposed.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person who reports the person's own conduct or who otherwise reports family violence in bad faith is not protected from liability under this section.</w:t>
      </w:r>
    </w:p>
    <w:p w:rsidR="003F3435" w:rsidRDefault="0032493E">
      <w:pPr>
        <w:spacing w:line="480" w:lineRule="auto"/>
        <w:jc w:val="both"/>
      </w:pPr>
      <w:r>
        <w:t xml:space="preserve">Added by Acts 1997, 75th Leg., ch. 34, Sec. 1, eff. May 5, 1997.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