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3. FINANCIAL INSTITUTIONS AND BUSINESSES</w:t>
      </w:r>
    </w:p>
    <w:p w:rsidR="003F3435" w:rsidRDefault="0032493E">
      <w:pPr>
        <w:spacing w:line="480" w:lineRule="auto"/>
        <w:jc w:val="center"/>
      </w:pPr>
      <w:r>
        <w:t xml:space="preserve">SUBTITLE Z. MISCELLANEOUS PROVISIONS RELATING TO FINANCIAL INSTITUTIONS AND BUSINESSES</w:t>
      </w:r>
    </w:p>
    <w:p w:rsidR="003F3435" w:rsidRDefault="0032493E">
      <w:pPr>
        <w:spacing w:line="480" w:lineRule="auto"/>
        <w:jc w:val="center"/>
      </w:pPr>
      <w:r>
        <w:t xml:space="preserve">CHAPTER 277. BUSINESS CHECKING ACCOUNTS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277.001.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"Business" means a legal entity, including a corporation, partnership, or sole proprietorship, that is formed for the purpose of making a profit.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"Business checking account" means an account at a financial institution from which withdrawals may be made by a business by check or draft.  The term includes a money market account, a negotiable order of withdrawal account, or other account at a financial institution in which the account holder has check writing privileges.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"Financial institution" means a state or national bank, state or federal savings and loan association, state or federal savings bank, or state or federal credit union doing business in this state.</w:t>
      </w:r>
    </w:p>
    <w:p w:rsidR="003F3435" w:rsidRDefault="0032493E">
      <w:pPr>
        <w:spacing w:line="480" w:lineRule="auto"/>
        <w:jc w:val="both"/>
      </w:pPr>
      <w:r>
        <w:t xml:space="preserve">Added by Acts 1999, 76th Leg., ch. 998,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277.002.</w:t>
      </w:r>
      <w:r xml:space="preserve">
        <w:t> </w:t>
      </w:r>
      <w:r xml:space="preserve">
        <w:t> </w:t>
      </w:r>
      <w:r>
        <w:t xml:space="preserve">ACCOUNT INFORMATION REQUIRED.  (a)  A financial institution shall require, as a condition of opening or maintaining a business checking account, that the applicant or account holder provide: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if the business is a sole proprietorship: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name of the business owner;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physical address of the business;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home address of the business owner;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driver's license number of the business owner or the personal identification card number issued to the business owner by the Department of Public Safety;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the business is a corporation or other legal entity, a copy of the business's certificate of incorporation or a comparable document and an assumed name certificate, if any.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financial institution shall request that the account holder inform the institution at least annually of any changes in the information the institution is required to obtain under Subsection (a).</w:t>
      </w:r>
    </w:p>
    <w:p w:rsidR="003F3435" w:rsidRDefault="0032493E">
      <w:pPr>
        <w:spacing w:line="480" w:lineRule="auto"/>
        <w:jc w:val="both"/>
      </w:pPr>
      <w:r>
        <w:t xml:space="preserve">Added by Acts 1999, 76th Leg., ch. 998,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277.003.</w:t>
      </w:r>
      <w:r xml:space="preserve">
        <w:t> </w:t>
      </w:r>
      <w:r xml:space="preserve">
        <w:t> </w:t>
      </w:r>
      <w:r>
        <w:t xml:space="preserve">DISCLOSURE OF INFORMATION.  (a)  A financial institution may not unreasonably withhold the information described by Section </w:t>
      </w:r>
      <w:r>
        <w:t xml:space="preserve">277.002</w:t>
      </w:r>
      <w:r>
        <w:t xml:space="preserve"> in response to a written request for the information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made by a person to whom the financial institution has returned a dishonored check or draft that was issued to the person by a business that maintains a business checking account;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includes a photocopy of the dishonored check or draft.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financial institution that assesses a reasonable research fee in the regular course of business may assess the fee on a person who requests information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financial institution is not liable to an account holder or other person for the disclosure of information under this section.</w:t>
      </w:r>
    </w:p>
    <w:p w:rsidR="003F3435" w:rsidRDefault="0032493E">
      <w:pPr>
        <w:spacing w:line="480" w:lineRule="auto"/>
        <w:jc w:val="both"/>
      </w:pPr>
      <w:r>
        <w:t xml:space="preserve">Added by Acts 1999, 76th Leg., ch. 998,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