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2. JUDICIAL BRANCH</w:t>
      </w:r>
    </w:p>
    <w:p w:rsidR="003F3435" w:rsidRDefault="0032493E">
      <w:pPr>
        <w:spacing w:line="480" w:lineRule="auto"/>
        <w:jc w:val="center"/>
      </w:pPr>
      <w:r>
        <w:t xml:space="preserve">SUBTITLE K.  SPECIALTY COURTS</w:t>
      </w:r>
    </w:p>
    <w:p w:rsidR="003F3435" w:rsidRDefault="0032493E">
      <w:pPr>
        <w:spacing w:line="480" w:lineRule="auto"/>
        <w:jc w:val="center"/>
      </w:pPr>
      <w:r>
        <w:t xml:space="preserve">CHAPTER 122.  FAMILY DRUG COURT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122.001.</w:t>
      </w:r>
      <w:r xml:space="preserve">
        <w:t> </w:t>
      </w:r>
      <w:r xml:space="preserve">
        <w:t> </w:t>
      </w:r>
      <w:r>
        <w:t xml:space="preserve">FAMILY DRUG COURT PROGRAM DEFINED.</w:t>
      </w:r>
      <w:r xml:space="preserve">
        <w:t> </w:t>
      </w:r>
      <w:r xml:space="preserve">
        <w:t> </w:t>
      </w:r>
      <w:r>
        <w:t xml:space="preserve">In this chapter, "family drug court program" means a program that has the following essential characteristics: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integration of substance abuse treatment services in the processing of civil cases in the child welfare system with the goal of family reunification;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use of a comprehensive case management approach involving Department of Family and Protective Services caseworkers, court-appointed case managers, and court-appointed special advocates to rehabilitate a parent who has had a child removed from the parent's care by the department because of suspected child abuse or neglect and who is suspected of substance abuse;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early identification and prompt placement of eligible parents who volunteer to participate in the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comprehensive substance abuse needs assessment and referral to an appropriate substance abuse treatment agency;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progressive treatment approach with specific requirements that a parent must meet to advance to the next phase of the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monitoring of abstinence through periodic alcohol or other drug testing;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ongoing judicial interaction with program participants;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monitoring and evaluation of program goals and effectiveness;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continuing interdisciplinary education to promote effective program planning, implementation, and operations;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development of partnerships with public agencies and community organizations.</w:t>
      </w:r>
    </w:p>
    <w:p w:rsidR="003F3435" w:rsidRDefault="0032493E">
      <w:pPr>
        <w:spacing w:line="480" w:lineRule="auto"/>
        <w:jc w:val="both"/>
      </w:pPr>
      <w:r>
        <w:t xml:space="preserve">Added by Acts 2005, 79th Leg., Ch. 268 (S.B. </w:t>
      </w:r>
      <w:hyperlink w:docLocation="table" r:id="rId14">
        <w:r>
          <w:rPr>
            <w:rStyle w:val="Hyperlink"/>
          </w:rPr>
          <w:t>6</w:t>
        </w:r>
      </w:hyperlink>
      <w:r>
        <w:t xml:space="preserve">), Sec. 1.63, eff. September 1, 2005.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Family Code, Subchapter J, Chapter </w:t>
      </w:r>
      <w:r>
        <w:t xml:space="preserve">264</w:t>
      </w:r>
      <w:r>
        <w:t xml:space="preserve"> by Acts 2013, 83rd Leg., R.S., Ch. 747 (S.B. </w:t>
      </w:r>
      <w:hyperlink w:docLocation="table" r:id="rId15">
        <w:r>
          <w:rPr>
            <w:rStyle w:val="Hyperlink"/>
          </w:rPr>
          <w:t>462</w:t>
        </w:r>
      </w:hyperlink>
      <w:r>
        <w:t xml:space="preserve">), Sec. 1.02,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122.002.</w:t>
      </w:r>
      <w:r xml:space="preserve">
        <w:t> </w:t>
      </w:r>
      <w:r xml:space="preserve">
        <w:t> </w:t>
      </w:r>
      <w:r>
        <w:t xml:space="preserve">AUTHORITY TO ESTABLISH PROGRAM.</w:t>
      </w:r>
      <w:r xml:space="preserve">
        <w:t> </w:t>
      </w:r>
      <w:r xml:space="preserve">
        <w:t> </w:t>
      </w:r>
      <w:r>
        <w:t xml:space="preserve">The commissioners court of a county may establish a family drug court program for persons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have had a child removed from their care by the Department of Family and Protective Services;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are suspected by the Department of Family and Protective Services or a court of having a substance abuse problem.</w:t>
      </w:r>
    </w:p>
    <w:p w:rsidR="003F3435" w:rsidRDefault="0032493E">
      <w:pPr>
        <w:spacing w:line="480" w:lineRule="auto"/>
        <w:jc w:val="both"/>
      </w:pPr>
      <w:r>
        <w:t xml:space="preserve">Added by Acts 2005, 79th Leg., Ch. 268 (S.B. </w:t>
      </w:r>
      <w:hyperlink w:docLocation="table" r:id="rId16">
        <w:r>
          <w:rPr>
            <w:rStyle w:val="Hyperlink"/>
          </w:rPr>
          <w:t>6</w:t>
        </w:r>
      </w:hyperlink>
      <w:r>
        <w:t xml:space="preserve">), Sec. 1.63, eff. September 1, 2005.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Family Code, Subchapter J, Chapter </w:t>
      </w:r>
      <w:r>
        <w:t xml:space="preserve">264</w:t>
      </w:r>
      <w:r>
        <w:t xml:space="preserve"> by Acts 2013, 83rd Leg., R.S., Ch. 747 (S.B. </w:t>
      </w:r>
      <w:hyperlink w:docLocation="table" r:id="rId17">
        <w:r>
          <w:rPr>
            <w:rStyle w:val="Hyperlink"/>
          </w:rPr>
          <w:t>462</w:t>
        </w:r>
      </w:hyperlink>
      <w:r>
        <w:t xml:space="preserve">), Sec. 1.02,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122.003.</w:t>
      </w:r>
      <w:r xml:space="preserve">
        <w:t> </w:t>
      </w:r>
      <w:r xml:space="preserve">
        <w:t> </w:t>
      </w:r>
      <w:r>
        <w:t xml:space="preserve">PARTICIPANT PAYMENT FOR TREATMENT AND SERVICES.</w:t>
      </w:r>
      <w:r xml:space="preserve">
        <w:t> </w:t>
      </w:r>
      <w:r xml:space="preserve">
        <w:t> </w:t>
      </w:r>
      <w:r>
        <w:t xml:space="preserve">A family drug court program may require a participant to pay the cost of all treatment and services received while participating in the program, based on the participant's ability to pay.</w:t>
      </w:r>
    </w:p>
    <w:p w:rsidR="003F3435" w:rsidRDefault="0032493E">
      <w:pPr>
        <w:spacing w:line="480" w:lineRule="auto"/>
        <w:jc w:val="both"/>
      </w:pPr>
      <w:r>
        <w:t xml:space="preserve">Added by Acts 2005, 79th Leg., Ch. 268 (S.B. </w:t>
      </w:r>
      <w:hyperlink w:docLocation="table" r:id="rId18">
        <w:r>
          <w:rPr>
            <w:rStyle w:val="Hyperlink"/>
          </w:rPr>
          <w:t>6</w:t>
        </w:r>
      </w:hyperlink>
      <w:r>
        <w:t xml:space="preserve">), Sec. 1.63, eff. September 1, 2005.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Family Code, Subchapter J, Chapter </w:t>
      </w:r>
      <w:r>
        <w:t xml:space="preserve">264</w:t>
      </w:r>
      <w:r>
        <w:t xml:space="preserve"> by Acts 2013, 83rd Leg., R.S., Ch. 747 (S.B. </w:t>
      </w:r>
      <w:hyperlink w:docLocation="table" r:id="rId19">
        <w:r>
          <w:rPr>
            <w:rStyle w:val="Hyperlink"/>
          </w:rPr>
          <w:t>462</w:t>
        </w:r>
      </w:hyperlink>
      <w:r>
        <w:t xml:space="preserve">), Sec. 1.02,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122.004.</w:t>
      </w:r>
      <w:r xml:space="preserve">
        <w:t> </w:t>
      </w:r>
      <w:r xml:space="preserve">
        <w:t> </w:t>
      </w:r>
      <w:r>
        <w:t xml:space="preserve">FUNDING.</w:t>
      </w:r>
      <w:r xml:space="preserve">
        <w:t> </w:t>
      </w:r>
      <w:r xml:space="preserve">
        <w:t> </w:t>
      </w:r>
      <w:r>
        <w:t xml:space="preserve">A county creating a family drug court under this chapter shall explore the possibility of using court improvement project funds to finance the family drug court in the county.</w:t>
      </w:r>
      <w:r xml:space="preserve">
        <w:t> </w:t>
      </w:r>
      <w:r xml:space="preserve">
        <w:t> </w:t>
      </w:r>
      <w:r>
        <w:t xml:space="preserve">The county shall also explore the availability of federal and state matching funds to finance the court.</w:t>
      </w:r>
    </w:p>
    <w:p w:rsidR="003F3435" w:rsidRDefault="0032493E">
      <w:pPr>
        <w:spacing w:line="480" w:lineRule="auto"/>
        <w:jc w:val="both"/>
      </w:pPr>
      <w:r>
        <w:t xml:space="preserve">Added by Acts 2005, 79th Leg., Ch. 268 (S.B. </w:t>
      </w:r>
      <w:hyperlink w:docLocation="table" r:id="rId20">
        <w:r>
          <w:rPr>
            <w:rStyle w:val="Hyperlink"/>
          </w:rPr>
          <w:t>6</w:t>
        </w:r>
      </w:hyperlink>
      <w:r>
        <w:t xml:space="preserve">), Sec. 1.63, eff. September 1, 2005.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Family Code, Subchapter J, Chapter </w:t>
      </w:r>
      <w:r>
        <w:t xml:space="preserve">264</w:t>
      </w:r>
      <w:r>
        <w:t xml:space="preserve"> by Acts 2013, 83rd Leg., R.S., Ch. 747 (S.B. </w:t>
      </w:r>
      <w:hyperlink w:docLocation="table" r:id="rId21">
        <w:r>
          <w:rPr>
            <w:rStyle w:val="Hyperlink"/>
          </w:rPr>
          <w:t>462</w:t>
        </w:r>
      </w:hyperlink>
      <w:r>
        <w:t xml:space="preserve">), Sec. 1.02, eff. September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SB00006F.HTM" TargetMode="External" Id="rId14" /><Relationship Type="http://schemas.openxmlformats.org/officeDocument/2006/relationships/hyperlink" Target="http://capitol.texas.gov/tlodocs/83R/billtext/html/SB00462F.HTM" TargetMode="External" Id="rId15" /><Relationship Type="http://schemas.openxmlformats.org/officeDocument/2006/relationships/hyperlink" Target="http://capitol.texas.gov/tlodocs/79R/billtext/html/SB00006F.HTM" TargetMode="External" Id="rId16" /><Relationship Type="http://schemas.openxmlformats.org/officeDocument/2006/relationships/hyperlink" Target="http://capitol.texas.gov/tlodocs/83R/billtext/html/SB00462F.HTM" TargetMode="External" Id="rId17" /><Relationship Type="http://schemas.openxmlformats.org/officeDocument/2006/relationships/hyperlink" Target="http://capitol.texas.gov/tlodocs/79R/billtext/html/SB00006F.HTM" TargetMode="External" Id="rId18" /><Relationship Type="http://schemas.openxmlformats.org/officeDocument/2006/relationships/hyperlink" Target="http://capitol.texas.gov/tlodocs/83R/billtext/html/SB00462F.HTM" TargetMode="External" Id="rId19" /><Relationship Type="http://schemas.openxmlformats.org/officeDocument/2006/relationships/hyperlink" Target="http://capitol.texas.gov/tlodocs/79R/billtext/html/SB00006F.HTM" TargetMode="External" Id="rId20" /><Relationship Type="http://schemas.openxmlformats.org/officeDocument/2006/relationships/hyperlink" Target="http://capitol.texas.gov/tlodocs/83R/billtext/html/SB00462F.HTM" TargetMode="External" Id="rI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