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9. PUBLIC SECURITIES</w:t>
      </w:r>
    </w:p>
    <w:p w:rsidR="003F3435" w:rsidRDefault="0032493E">
      <w:pPr>
        <w:spacing w:line="480" w:lineRule="auto"/>
        <w:jc w:val="center"/>
      </w:pPr>
      <w:r>
        <w:t xml:space="preserve">SUBTITLE D. PROVISIONS APPLICABLE TO SECURITIES ISSUED BY COUNTIES</w:t>
      </w:r>
    </w:p>
    <w:p w:rsidR="003F3435" w:rsidRDefault="0032493E">
      <w:pPr>
        <w:spacing w:line="480" w:lineRule="auto"/>
        <w:jc w:val="center"/>
      </w:pPr>
      <w:r>
        <w:t xml:space="preserve">CHAPTER 1302. DESTRUCTION OF COUNTY SECURITY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1302.001.</w:t>
      </w:r>
      <w:r xml:space="preserve">
        <w:t> </w:t>
      </w:r>
      <w:r xml:space="preserve">
        <w:t> </w:t>
      </w:r>
      <w:r>
        <w:t xml:space="preserve">DEFINITION.  In this chapter, "county security" means a certificate, bond, interest coupon, or other evidence of indebtedness issued by a county.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1302.002.</w:t>
      </w:r>
      <w:r xml:space="preserve">
        <w:t> </w:t>
      </w:r>
      <w:r xml:space="preserve">
        <w:t> </w:t>
      </w:r>
      <w:r>
        <w:t xml:space="preserve">AUTHORIZATION.  The commissioners court of a county may contract with the county's depository or another entity that acts as the registrar or paying agent for a county security issued by the county for the destruction of a county security that has been issued and paid by the county.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1302.003.</w:t>
      </w:r>
      <w:r xml:space="preserve">
        <w:t> </w:t>
      </w:r>
      <w:r xml:space="preserve">
        <w:t> </w:t>
      </w:r>
      <w:r>
        <w:t xml:space="preserve">LIMITATION.  A contract under Section </w:t>
      </w:r>
      <w:r>
        <w:t xml:space="preserve">1302.002</w:t>
      </w:r>
      <w:r>
        <w:t xml:space="preserve"> may not authorize the destruction of a county security before: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first anniversary of the date the county security is paid;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end of the third month after the date the depository, registrar, or paying agent files a list identifying the county security to be destroyed with the commissioners court or county treasurer.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