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9. PUBLIC SECURITIES</w:t>
      </w:r>
    </w:p>
    <w:p w:rsidR="003F3435" w:rsidRDefault="0032493E">
      <w:pPr>
        <w:spacing w:line="480" w:lineRule="auto"/>
        <w:jc w:val="center"/>
      </w:pPr>
      <w:r>
        <w:t xml:space="preserve">SUBTITLE D. PROVISIONS APPLICABLE TO SECURITIES ISSUED BY COUNTIES</w:t>
      </w:r>
    </w:p>
    <w:p w:rsidR="003F3435" w:rsidRDefault="0032493E">
      <w:pPr>
        <w:spacing w:line="480" w:lineRule="auto"/>
        <w:jc w:val="center"/>
      </w:pPr>
      <w:r>
        <w:t xml:space="preserve">CHAPTER 1303. OTHER USE OF COUNTY BOND PROCEEDS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1303.001.</w:t>
      </w:r>
      <w:r xml:space="preserve">
        <w:t> </w:t>
      </w:r>
      <w:r xml:space="preserve">
        <w:t> </w:t>
      </w:r>
      <w:r>
        <w:t xml:space="preserve">USE OF BOND PROCEEDS FOR OWNER-CONTROLLED INSURANCE PROGRAM.  A county may use the proceeds of bonds or certificates of obligation issued to pay for a county construction project to pay for an owner-controlled insurance program under which the county establishes and administers a consolidated insurance program for the project if the county's order authorizing the issuance of the bonds or other certificates of obligation authorizes the establishment of the program.</w:t>
      </w:r>
    </w:p>
    <w:p w:rsidR="003F3435" w:rsidRDefault="0032493E">
      <w:pPr>
        <w:spacing w:line="480" w:lineRule="auto"/>
        <w:jc w:val="both"/>
      </w:pPr>
      <w:r>
        <w:t xml:space="preserve">Added by Acts 2001, 77th Leg., ch. 564, Sec. 1, eff. Sept. 1, 2001.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