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GOVERNMENT CODE</w:t>
      </w:r>
    </w:p>
    <w:p w:rsidR="003F3435" w:rsidRDefault="0032493E">
      <w:pPr>
        <w:spacing w:line="480" w:lineRule="auto"/>
        <w:jc w:val="center"/>
      </w:pPr>
      <w:r>
        <w:t xml:space="preserve">TITLE 2. JUDICIAL BRANCH</w:t>
      </w:r>
    </w:p>
    <w:p w:rsidR="003F3435" w:rsidRDefault="0032493E">
      <w:pPr>
        <w:spacing w:line="480" w:lineRule="auto"/>
        <w:jc w:val="center"/>
      </w:pPr>
      <w:r>
        <w:t xml:space="preserve">SUBTITLE K-1.  SPECIALTY COURTS FOR VICTIM SERVICES</w:t>
      </w:r>
    </w:p>
    <w:p w:rsidR="003F3435" w:rsidRDefault="0032493E">
      <w:pPr>
        <w:spacing w:line="480" w:lineRule="auto"/>
        <w:jc w:val="center"/>
      </w:pPr>
      <w:r>
        <w:t xml:space="preserve">CHAPTER 141.  SEXUAL ASSAULT VICTIM SERVICES COURT PROGRAM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141.001.</w:t>
      </w:r>
      <w:r xml:space="preserve">
        <w:t> </w:t>
      </w:r>
      <w:r xml:space="preserve">
        <w:t> </w:t>
      </w:r>
      <w:r>
        <w:t xml:space="preserve">SEXUAL ASSAULT VICTIM SERVICES COURT PROGRAM DEFINED.</w:t>
      </w:r>
      <w:r xml:space="preserve">
        <w:t> </w:t>
      </w:r>
      <w:r xml:space="preserve">
        <w:t> </w:t>
      </w:r>
      <w:r>
        <w:t xml:space="preserve">In this chapter, "sexual assault victim services court program" means a program that has the following essential characteristics: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integration of services provided by public agencies and community organizations for victims in sexual assault cases who voluntarily agree to participate in the program;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use of prosecutors with experience in prosecuting sexual assault cases and judges with experience in hearing sexual assault cases;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early identification and prompt assignment of eligible cases to the court designated under Section </w:t>
      </w:r>
      <w:r>
        <w:t xml:space="preserve">141.002</w:t>
      </w:r>
      <w:r>
        <w:t xml:space="preserve">(b);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access for victims participating in the program to counseling and other related services provided by public agencies and community organizations;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development of partnerships with public agencies and community organizations;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monitoring and evaluation of program goals and effectiveness;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continuing interdisciplinary education to promote effective program planning, implementation, and operations;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(8)</w:t>
      </w:r>
      <w:r xml:space="preserve">
        <w:t> </w:t>
      </w:r>
      <w:r xml:space="preserve">
        <w:t> </w:t>
      </w:r>
      <w:r>
        <w:t xml:space="preserve">inclusion of a participant's family members who voluntarily agree to be involved in the services provided to the participant under the program;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(9)</w:t>
      </w:r>
      <w:r xml:space="preserve">
        <w:t> </w:t>
      </w:r>
      <w:r xml:space="preserve">
        <w:t> </w:t>
      </w:r>
      <w:r>
        <w:t xml:space="preserve">prosecution of sexual assault offenses;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(10)</w:t>
      </w:r>
      <w:r xml:space="preserve">
        <w:t> </w:t>
      </w:r>
      <w:r xml:space="preserve">
        <w:t> </w:t>
      </w:r>
      <w:r>
        <w:t xml:space="preserve">issuance of protective orders for victims on the victim's consent and as authorized by state law;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(11)</w:t>
      </w:r>
      <w:r xml:space="preserve">
        <w:t> </w:t>
      </w:r>
      <w:r xml:space="preserve">
        <w:t> </w:t>
      </w:r>
      <w:r>
        <w:t xml:space="preserve">continued monitoring of sexual assault defendants through prosecution and adjudication and for the duration of convicted offenders' sentences.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669 (H.B. </w:t>
      </w:r>
      <w:hyperlink w:docLocation="table" r:id="rId14">
        <w:r>
          <w:rPr>
            <w:rStyle w:val="Hyperlink"/>
          </w:rPr>
          <w:t>1706</w:t>
        </w:r>
      </w:hyperlink>
      <w:r>
        <w:t xml:space="preserve">), Sec. 1, eff. September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141.002.</w:t>
      </w:r>
      <w:r xml:space="preserve">
        <w:t> </w:t>
      </w:r>
      <w:r xml:space="preserve">
        <w:t> </w:t>
      </w:r>
      <w:r>
        <w:t xml:space="preserve">AUTHORITY TO ESTABLISH PROGRAM; ELIGIBILITY.  (a)</w:t>
      </w:r>
      <w:r xml:space="preserve">
        <w:t> </w:t>
      </w:r>
      <w:r xml:space="preserve">
        <w:t> </w:t>
      </w:r>
      <w:r>
        <w:t xml:space="preserve">The commissioners court of a county may establish a sexual assault victim services court program for participants who: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are victims of an alleged sexual assault in which a person is arrested for or charged with an offense under Chapter </w:t>
      </w:r>
      <w:r>
        <w:t xml:space="preserve">21</w:t>
      </w:r>
      <w:r>
        <w:t xml:space="preserve"> or </w:t>
      </w:r>
      <w:r>
        <w:t xml:space="preserve">22</w:t>
      </w:r>
      <w:r>
        <w:t xml:space="preserve">, Penal Code, committed against the victim;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voluntarily agree to participate in the program.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local administrative district and statutory county court judges of the county may designate a court in the county for assignment of cases described by Subsection (a).</w:t>
      </w:r>
      <w:r xml:space="preserve">
        <w:t> </w:t>
      </w:r>
      <w:r xml:space="preserve">
        <w:t> </w:t>
      </w:r>
      <w:r>
        <w:t xml:space="preserve">The judge of the designated court must have experience hearing sexual assault cases under Chapter </w:t>
      </w:r>
      <w:r>
        <w:t xml:space="preserve">21</w:t>
      </w:r>
      <w:r>
        <w:t xml:space="preserve"> or </w:t>
      </w:r>
      <w:r>
        <w:t xml:space="preserve">22</w:t>
      </w:r>
      <w:r>
        <w:t xml:space="preserve">, Penal Code.</w:t>
      </w:r>
      <w:r xml:space="preserve">
        <w:t> </w:t>
      </w:r>
      <w:r xml:space="preserve">
        <w:t> </w:t>
      </w:r>
      <w:r>
        <w:t xml:space="preserve">The prosecuting attorney for the court must have experience in prosecuting sexual assault offenses under Chapter </w:t>
      </w:r>
      <w:r>
        <w:t xml:space="preserve">21</w:t>
      </w:r>
      <w:r>
        <w:t xml:space="preserve"> or </w:t>
      </w:r>
      <w:r>
        <w:t xml:space="preserve">22</w:t>
      </w:r>
      <w:r>
        <w:t xml:space="preserve">, Penal Code.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669 (H.B. </w:t>
      </w:r>
      <w:hyperlink w:docLocation="table" r:id="rId15">
        <w:r>
          <w:rPr>
            <w:rStyle w:val="Hyperlink"/>
          </w:rPr>
          <w:t>1706</w:t>
        </w:r>
      </w:hyperlink>
      <w:r>
        <w:t xml:space="preserve">), Sec. 1, eff. September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141.003.</w:t>
      </w:r>
      <w:r xml:space="preserve">
        <w:t> </w:t>
      </w:r>
      <w:r xml:space="preserve">
        <w:t> </w:t>
      </w:r>
      <w:r>
        <w:t xml:space="preserve">DUTIES OF SEXUAL ASSAULT VICTIM SERVICES COURT PROGRAM.  (a)</w:t>
      </w:r>
      <w:r xml:space="preserve">
        <w:t> </w:t>
      </w:r>
      <w:r xml:space="preserve">
        <w:t> </w:t>
      </w:r>
      <w:r>
        <w:t xml:space="preserve">A sexual assault victim services court program established under this chapter must: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ensure that a victim eligible for participation in the program voluntarily agrees to participate in the program;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allow a participant to withdraw from the program at any time.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sexual assault victim services court program established under this chapter shall make, establish, and publish local procedures to ensure maximum participation of eligible victims in the county.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669 (H.B. </w:t>
      </w:r>
      <w:hyperlink w:docLocation="table" r:id="rId16">
        <w:r>
          <w:rPr>
            <w:rStyle w:val="Hyperlink"/>
          </w:rPr>
          <w:t>1706</w:t>
        </w:r>
      </w:hyperlink>
      <w:r>
        <w:t xml:space="preserve">), Sec. 1, eff. September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141.004.</w:t>
      </w:r>
      <w:r xml:space="preserve">
        <w:t> </w:t>
      </w:r>
      <w:r xml:space="preserve">
        <w:t> </w:t>
      </w:r>
      <w:r>
        <w:t xml:space="preserve">GIFTS, GRANTS, AND DONATIONS.</w:t>
      </w:r>
      <w:r xml:space="preserve">
        <w:t> </w:t>
      </w:r>
      <w:r xml:space="preserve">
        <w:t> </w:t>
      </w:r>
      <w:r>
        <w:t xml:space="preserve">A county may accept a gift, grant, donation, or bequest of money, services, equipment, goods, or other tangible or intangible property from any source for the sexual assault victim services court program.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669 (H.B. </w:t>
      </w:r>
      <w:hyperlink w:docLocation="table" r:id="rId17">
        <w:r>
          <w:rPr>
            <w:rStyle w:val="Hyperlink"/>
          </w:rPr>
          <w:t>1706</w:t>
        </w:r>
      </w:hyperlink>
      <w:r>
        <w:t xml:space="preserve">), Sec. 1, eff. September 1, 2021.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7R/billtext/html/HB01706F.HTM" TargetMode="External" Id="rId14" /><Relationship Type="http://schemas.openxmlformats.org/officeDocument/2006/relationships/hyperlink" Target="http://capitol.texas.gov/tlodocs/87R/billtext/html/HB01706F.HTM" TargetMode="External" Id="rId15" /><Relationship Type="http://schemas.openxmlformats.org/officeDocument/2006/relationships/hyperlink" Target="http://capitol.texas.gov/tlodocs/87R/billtext/html/HB01706F.HTM" TargetMode="External" Id="rId16" /><Relationship Type="http://schemas.openxmlformats.org/officeDocument/2006/relationships/hyperlink" Target="http://capitol.texas.gov/tlodocs/87R/billtext/html/HB01706F.HTM" TargetMode="External" Id="rId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