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2. JUDICIAL BRANCH</w:t>
      </w:r>
    </w:p>
    <w:p w:rsidR="003F3435" w:rsidRDefault="0032493E">
      <w:pPr>
        <w:spacing w:line="480" w:lineRule="auto"/>
        <w:jc w:val="center"/>
      </w:pPr>
      <w:r>
        <w:t xml:space="preserve">SUBTITLE L.  COURT PROFESSIONS REGULATION</w:t>
      </w:r>
    </w:p>
    <w:p w:rsidR="003F3435" w:rsidRDefault="0032493E">
      <w:pPr>
        <w:spacing w:line="480" w:lineRule="auto"/>
        <w:jc w:val="center"/>
      </w:pPr>
      <w:r>
        <w:t xml:space="preserve">CHAPTER 151.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151.001.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subtitle: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"Certification" means a certification issued by the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"Commission" means the Judicial Branch Certification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"Director" means the administrative director of the office.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"License" means a license issued by the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"Office" means the Office of Court Administration of the Texas Judicial System.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"Registration" means a registration issued by the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"Regulated person" means a person, firm, or other business entity, who holds a certification, registration, or license issued by the commission.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42 (S.B. </w:t>
      </w:r>
      <w:hyperlink w:docLocation="table" r:id="rId14">
        <w:r>
          <w:rPr>
            <w:rStyle w:val="Hyperlink"/>
          </w:rPr>
          <w:t>966</w:t>
        </w:r>
      </w:hyperlink>
      <w:r>
        <w:t xml:space="preserve">), Sec. 1.01, eff. September 1, 2014.</w:t>
      </w:r>
    </w:p>
    <w:p w:rsidR="003F3435" w:rsidRDefault="0032493E">
      <w:pPr>
        <w:spacing w:line="480" w:lineRule="auto"/>
        <w:jc w:val="both"/>
      </w:pPr>
      <w:r>
        <w:t xml:space="preserve">Redesignated from Government Code, Subtitle K, Title 2 by Acts 2015, 84th Leg., R.S., Ch. 1236 (S.B. </w:t>
      </w:r>
      <w:hyperlink w:docLocation="table" r:id="rId15">
        <w:r>
          <w:rPr>
            <w:rStyle w:val="Hyperlink"/>
          </w:rPr>
          <w:t>1296</w:t>
        </w:r>
      </w:hyperlink>
      <w:r>
        <w:t xml:space="preserve">), Sec. </w:t>
      </w:r>
      <w:r>
        <w:t xml:space="preserve">21.001</w:t>
      </w:r>
      <w:r>
        <w:t xml:space="preserve">(21), eff. September 1, 2015.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516 (S.B. </w:t>
      </w:r>
      <w:hyperlink w:docLocation="table" r:id="rId16">
        <w:r>
          <w:rPr>
            <w:rStyle w:val="Hyperlink"/>
          </w:rPr>
          <w:t>43</w:t>
        </w:r>
      </w:hyperlink>
      <w:r>
        <w:t xml:space="preserve">), Sec. 2,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0966F.HTM" TargetMode="External" Id="rId14" /><Relationship Type="http://schemas.openxmlformats.org/officeDocument/2006/relationships/hyperlink" Target="http://capitol.texas.gov/tlodocs/84R/billtext/html/SB01296F.HTM" TargetMode="External" Id="rId15" /><Relationship Type="http://schemas.openxmlformats.org/officeDocument/2006/relationships/hyperlink" Target="http://capitol.texas.gov/tlodocs/85R/billtext/html/SB00043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