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GOVERNMENT CODE</w:t>
      </w:r>
    </w:p>
    <w:p w:rsidR="003F3435" w:rsidRDefault="0032493E">
      <w:pPr>
        <w:spacing w:line="480" w:lineRule="auto"/>
        <w:jc w:val="center"/>
      </w:pPr>
      <w:r>
        <w:t xml:space="preserve">TITLE 10. GENERAL GOVERNMENT</w:t>
      </w:r>
    </w:p>
    <w:p w:rsidR="003F3435" w:rsidRDefault="0032493E">
      <w:pPr>
        <w:spacing w:line="480" w:lineRule="auto"/>
        <w:jc w:val="center"/>
      </w:pPr>
      <w:r>
        <w:t xml:space="preserve">SUBTITLE E. GOVERNMENT PROPERTY</w:t>
      </w:r>
    </w:p>
    <w:p w:rsidR="003F3435" w:rsidRDefault="0032493E">
      <w:pPr>
        <w:spacing w:line="480" w:lineRule="auto"/>
        <w:jc w:val="center"/>
      </w:pPr>
      <w:r>
        <w:t xml:space="preserve">CHAPTER 2201. TEXAS CAPITAL TRUST FUND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2201.001.</w:t>
      </w:r>
      <w:r xml:space="preserve">
        <w:t> </w:t>
      </w:r>
      <w:r xml:space="preserve">
        <w:t> </w:t>
      </w:r>
      <w:r>
        <w:t xml:space="preserve">TEXAS CAPITAL TRUST FUND.  The Texas capital trust fund is in the state treasury.</w:t>
      </w:r>
    </w:p>
    <w:p w:rsidR="003F3435" w:rsidRDefault="0032493E">
      <w:pPr>
        <w:spacing w:line="480" w:lineRule="auto"/>
        <w:jc w:val="both"/>
      </w:pPr>
      <w:r>
        <w:t xml:space="preserve">Added by Acts 1993, 73rd Leg., ch. 268, Sec. 1, eff. Sept. 1, 1993.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2201.002.</w:t>
      </w:r>
      <w:r xml:space="preserve">
        <w:t> </w:t>
      </w:r>
      <w:r xml:space="preserve">
        <w:t> </w:t>
      </w:r>
      <w:r>
        <w:t xml:space="preserve">USE OF FUND.  The fund may be used to finance: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acquisition, construction, repair, improvement, or equipping of a building by a state agency for a state purpose;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acquisition of real or personal property necessary for a state agency to take an action described by Subdivision (1);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the administration of the asset management division of the General Land Office; 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any other purpose for which funds may be appropriated from general revenue.</w:t>
      </w:r>
    </w:p>
    <w:p w:rsidR="003F3435" w:rsidRDefault="0032493E">
      <w:pPr>
        <w:spacing w:line="480" w:lineRule="auto"/>
        <w:jc w:val="both"/>
      </w:pPr>
      <w:r>
        <w:t xml:space="preserve">Added by Acts 1993, 73rd Leg., ch. 268, Sec. 1, eff. Sept. 1, 1993.  Amended by Acts 1999, 76th Leg., ch. 1499, Sec. 1.32, eff. Sept. 1, 1999;  Acts 2003, 78th Leg., ch. 1310, Sec. 59, eff. June 20, 2003.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2201.003.</w:t>
      </w:r>
      <w:r xml:space="preserve">
        <w:t> </w:t>
      </w:r>
      <w:r xml:space="preserve">
        <w:t> </w:t>
      </w:r>
      <w:r>
        <w:t xml:space="preserve">TRANSFERS FROM CAPITAL TRUST FUND.  (a)  Interest earned by the fund shall be deposited to the credit of the housing trust fund.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At the end of each fiscal biennium the unencumbered balance of the fund shall be transferred to the credit of the general revenue fund.</w:t>
      </w:r>
    </w:p>
    <w:p w:rsidR="003F3435" w:rsidRDefault="0032493E">
      <w:pPr>
        <w:spacing w:line="480" w:lineRule="auto"/>
        <w:jc w:val="both"/>
      </w:pPr>
      <w:r>
        <w:t xml:space="preserve">Added by Acts 1993, 73rd Leg., ch. 268, Sec. 1, eff. Sept. 1, 1993.  Amended by Acts 1997, 75th Leg., ch. 1123, Sec. 14, eff. Sept. 1, 1997;  Acts 2003, 78th Leg., ch. 1310, Sec. 60, eff. June 20, 2003.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