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F. STATE AND LOCAL CONTRACTS AND FUND MANAGEMENT</w:t>
      </w:r>
    </w:p>
    <w:p w:rsidR="003F3435" w:rsidRDefault="0032493E">
      <w:pPr>
        <w:spacing w:line="480" w:lineRule="auto"/>
        <w:jc w:val="center"/>
      </w:pPr>
      <w:r>
        <w:t xml:space="preserve">CHAPTER 2255. PRIVATE DONORS OR ORGANIZATIONS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2255.001.</w:t>
      </w:r>
      <w:r xml:space="preserve">
        <w:t> </w:t>
      </w:r>
      <w:r xml:space="preserve">
        <w:t> </w:t>
      </w:r>
      <w:r>
        <w:t xml:space="preserve">RULES.  (a)  A state agency which is authorized by statute to accept money from a private donor or for which a private organization exists that is designed to further the purposes and duties of the agency shall adopt rules governing the relationship between: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donor or organization;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agency and its employees.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Rules adopted under this section shall govern all aspects of conduct of the agency and its employees in the relationship,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administration and investment of funds received by the organization for the benefit of the agency;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use of an employee or property of the agency by the donor or organization;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service by an officer or employee of the agency as an officer or director of the donor or organization;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monetary enrichment of an officer or employee of the agency by the donor or organization.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rule adopted under this section may not conflict with or supersede a requirement of a statute regulating: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conduct of an employee of a state agency;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procedures of a state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newly created state agency shall adopt rules under this section as soon as possible after its creation.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In this section, "state agency" means a department, commission, board, office, or other agency in the executive branch of state government created by the constitution or a statute of this state, including a university system or an institution of higher education as defined by Section </w:t>
      </w:r>
      <w:r>
        <w:t xml:space="preserve">61.003</w:t>
      </w:r>
      <w:r>
        <w:t xml:space="preserve">, Education Code.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