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Z. MISCELLANEOUS PROVISIONS PROHIBITING CERTAIN GOVERNMENTAL ACTIONS</w:t>
      </w:r>
    </w:p>
    <w:p w:rsidR="003F3435" w:rsidRDefault="0032493E">
      <w:pPr>
        <w:spacing w:line="480" w:lineRule="auto"/>
        <w:jc w:val="center"/>
      </w:pPr>
      <w:r>
        <w:t xml:space="preserve">CHAPTER 3001.  RESTRICTIONS ON CERTAIN FIRE REGULATIONS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3001.001.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"Agricultural pole barn" means a nonresidential farm building in which 70 percent or more of the perimeter walls are permanently open and allow free ingress and egress.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"Governmental entity" has the meaning assigned by Section </w:t>
      </w:r>
      <w:r>
        <w:t xml:space="preserve">2007.002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"Livestock market" has the meaning assigned by Section </w:t>
      </w:r>
      <w:r>
        <w:t xml:space="preserve">161.111</w:t>
      </w:r>
      <w:r>
        <w:t xml:space="preserve">, Agriculture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"Nonresidential farm building" means any temporary or permanent building on a farm, ranch, or other agricultural facility that is used primarily for agricultural purposes and not intended to be used as a residential dwelling.</w:t>
      </w:r>
      <w:r xml:space="preserve">
        <w:t> </w:t>
      </w:r>
      <w:r xml:space="preserve">
        <w:t> </w:t>
      </w:r>
      <w:r>
        <w:t xml:space="preserve">The term includes a barn, greenhouse, shade house, farm office, storage building, workshop, poultry house, animal handling facility, or commodity storage and feed processing facility.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866 (S.B. </w:t>
      </w:r>
      <w:hyperlink w:docLocation="table" r:id="rId14">
        <w:r>
          <w:rPr>
            <w:rStyle w:val="Hyperlink"/>
          </w:rPr>
          <w:t>1948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3001.002.</w:t>
      </w:r>
      <w:r xml:space="preserve">
        <w:t> </w:t>
      </w:r>
      <w:r xml:space="preserve">
        <w:t> </w:t>
      </w:r>
      <w:r>
        <w:t xml:space="preserve">RESTRICTION ON REGULATION OF CERTAIN AGRICULTURAL FACILITIES.</w:t>
      </w:r>
      <w:r xml:space="preserve">
        <w:t> </w:t>
      </w:r>
      <w:r xml:space="preserve">
        <w:t> </w:t>
      </w:r>
      <w:r>
        <w:t xml:space="preserve">Notwithstanding any other law, a governmental entity may not adopt or enforce an ordinance, order, rule, or other measure that requires the installation of a fire protection sprinkler system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agricultural pole barn;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nonresidential farm building;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cotton gin;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cottonseed storage building;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grain storage facility;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livestock market;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commercial feed mill.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866 (S.B. </w:t>
      </w:r>
      <w:hyperlink w:docLocation="table" r:id="rId15">
        <w:r>
          <w:rPr>
            <w:rStyle w:val="Hyperlink"/>
          </w:rPr>
          <w:t>1948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1948F.HTM" TargetMode="External" Id="rId14" /><Relationship Type="http://schemas.openxmlformats.org/officeDocument/2006/relationships/hyperlink" Target="http://capitol.texas.gov/tlodocs/89R/billtext/html/SB01948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