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3. LEGISLATIVE BRANCH</w:t>
      </w:r>
    </w:p>
    <w:p w:rsidR="003F3435" w:rsidRDefault="0032493E">
      <w:pPr>
        <w:spacing w:line="480" w:lineRule="auto"/>
        <w:jc w:val="center"/>
      </w:pPr>
      <w:r>
        <w:t xml:space="preserve">SUBTITLE B. LEGISLATION</w:t>
      </w:r>
    </w:p>
    <w:p w:rsidR="003F3435" w:rsidRDefault="0032493E">
      <w:pPr>
        <w:spacing w:line="480" w:lineRule="auto"/>
        <w:jc w:val="center"/>
      </w:pPr>
      <w:r>
        <w:t xml:space="preserve">CHAPTER 320. UNFUNDED MANDATES ON POLITICAL SUBDIVISIONS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320.001.</w:t>
      </w:r>
      <w:r xml:space="preserve">
        <w:t> </w:t>
      </w:r>
      <w:r xml:space="preserve">
        <w:t> </w:t>
      </w:r>
      <w:r>
        <w:t xml:space="preserve">DEFINITION.  In this chapter, "mandate" means a requirement made by a statute enacted by the legislature on or after January 1, 1997, that requires a political subdivision to establish, expand, or modify an activity in a way that requires the expenditure of revenue by the political subdivision that would not have been required in the absence of the statutory provision.</w:t>
      </w:r>
    </w:p>
    <w:p w:rsidR="003F3435" w:rsidRDefault="0032493E">
      <w:pPr>
        <w:spacing w:line="480" w:lineRule="auto"/>
        <w:jc w:val="both"/>
      </w:pPr>
      <w:r>
        <w:t xml:space="preserve">Added by Acts 1997, 75th Leg., ch. 673, Sec. 1, eff. June 16, 1997.  Amended by Acts 1999, 76th Leg., ch. 864, Sec. 1, eff. Sept. 1, 1999;  Acts 2003, 78th Leg., ch. 785, Sec. 1, eff. Sept. 1, 2003.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