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3. LEGISLATIVE BRANCH</w:t>
      </w:r>
    </w:p>
    <w:p w:rsidR="003F3435" w:rsidRDefault="0032493E">
      <w:pPr>
        <w:spacing w:line="480" w:lineRule="auto"/>
        <w:jc w:val="center"/>
      </w:pPr>
      <w:r>
        <w:t xml:space="preserve">SUBTITLE C.  LEGISLATIVE AGENCIES AND OVERSIGHT COMMITTEES</w:t>
      </w:r>
    </w:p>
    <w:p w:rsidR="003F3435" w:rsidRDefault="0032493E">
      <w:pPr>
        <w:spacing w:line="480" w:lineRule="auto"/>
        <w:jc w:val="center"/>
      </w:pPr>
      <w:r>
        <w:t xml:space="preserve">CHAPTER 329.  COMMISSION ON UNIFORM STATE LAWS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Commission on Uniform State Laws.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"National conference" means the National Conference of Commissioners on Uniform State Laws.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14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329.002.</w:t>
      </w:r>
      <w:r xml:space="preserve">
        <w:t> </w:t>
      </w:r>
      <w:r xml:space="preserve">
        <w:t> </w:t>
      </w:r>
      <w:r>
        <w:t xml:space="preserve">DUTIES OF COMMISSION.  (a)</w:t>
      </w:r>
      <w:r xml:space="preserve">
        <w:t> </w:t>
      </w:r>
      <w:r xml:space="preserve">
        <w:t> </w:t>
      </w:r>
      <w:r>
        <w:t xml:space="preserve">The commission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promote the uniform judicial interpretation of all uniform laws;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before January 1 of each odd-numbered year, submit a biennial report to the legislature that contains an account of the commission's transactions and its advice and recommendations for legislation.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may supplement the report.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15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329.003.</w:t>
      </w:r>
      <w:r xml:space="preserve">
        <w:t> </w:t>
      </w:r>
      <w:r xml:space="preserve">
        <w:t> </w:t>
      </w:r>
      <w:r>
        <w:t xml:space="preserve">COMPOSITION OF COMMISSION; TERMS.  (a)</w:t>
      </w:r>
      <w:r xml:space="preserve">
        <w:t> </w:t>
      </w:r>
      <w:r xml:space="preserve">
        <w:t> </w:t>
      </w:r>
      <w:r>
        <w:t xml:space="preserve">The commission is composed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nine members appointed by the governor;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two members appointed by the lieutenant governor, who are members or officers of the senate;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two members appointed by the speaker of the house of representatives, who are members or officers of the house of representatives;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chair of the standing committee of the senate with primary jurisdiction over uniform state laws;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chair of the standing committee of the house of representatives with primary jurisdiction over uniform state laws;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executive director of the Texas Legislative Council or a person designated by the executive director;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in addition to the persons described by Subdivisions (1) through (6), residents of this state who have long service in the cause of uniformity in state legislation as shown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at least 20 years of service representing the state as an associate member of the national conference;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election as a life member of the national conference;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at least 15 years of service as a member of the commission and at least five years of combined service as a judge or justice of a trial or appellate court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Appointments to the commission shall be made without regard to the race, creed, sex, religion, or national origin of the appointees.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Members appointed by the governor under Subsection (a)(1) serve staggered six-year terms, with the terms of three members expiring September 30 of each even-numbered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Members appointed by the lieutenant governor under Subsection (a)(2) serve at the pleasure of the lieutenant governor.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Members appointed by the speaker of the house of representatives under Subsection (a)(3) serve at the pleasure of the speaker.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  Amended by Acts 1999, 76th Leg., ch. 170 (H.B. </w:t>
      </w:r>
      <w:hyperlink w:docLocation="table" r:id="rId16">
        <w:r>
          <w:rPr>
            <w:rStyle w:val="Hyperlink"/>
          </w:rPr>
          <w:t>510</w:t>
        </w:r>
      </w:hyperlink>
      <w:r>
        <w:t xml:space="preserve">), Sec. 1, eff. May 21, 1999;  Acts 2001, 77th Leg., ch. 30 (H.B. </w:t>
      </w:r>
      <w:hyperlink w:docLocation="table" r:id="rId17">
        <w:r>
          <w:rPr>
            <w:rStyle w:val="Hyperlink"/>
          </w:rPr>
          <w:t>808</w:t>
        </w:r>
      </w:hyperlink>
      <w:r>
        <w:t xml:space="preserve">), Sec. 1, eff. July 1, 2001.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18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329.004.</w:t>
      </w:r>
      <w:r xml:space="preserve">
        <w:t> </w:t>
      </w:r>
      <w:r xml:space="preserve">
        <w:t> </w:t>
      </w:r>
      <w:r>
        <w:t xml:space="preserve">ELIGIBILITY; LOBBYIST RESTRICTION.  (a)</w:t>
      </w:r>
      <w:r xml:space="preserve">
        <w:t> </w:t>
      </w:r>
      <w:r xml:space="preserve">
        <w:t> </w:t>
      </w:r>
      <w:r>
        <w:t xml:space="preserve">To be eligible for appointment to or service on the commission, a person must be an attorney licensed to practice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At least one of the commissioners, at the time of that commissioner's appointment, must be a state judge.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At least one of the commissioners, at the time of that commissioner's appointment, must be a legal educator.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person required to register as a lobbyist under Chapter </w:t>
      </w:r>
      <w:r>
        <w:t xml:space="preserve">305</w:t>
      </w:r>
      <w:r>
        <w:t xml:space="preserve"> because of the person's activities for compensation in or on behalf of a profession related to the operation of the commission may not serve as a commissioner or act as general counsel to the commission.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19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329.005.</w:t>
      </w:r>
      <w:r xml:space="preserve">
        <w:t> </w:t>
      </w:r>
      <w:r xml:space="preserve">
        <w:t> </w:t>
      </w:r>
      <w:r>
        <w:t xml:space="preserve">DUTIES OF COMMISSIONERS.</w:t>
      </w:r>
      <w:r xml:space="preserve">
        <w:t> </w:t>
      </w:r>
      <w:r xml:space="preserve">
        <w:t> </w:t>
      </w:r>
      <w:r>
        <w:t xml:space="preserve">Each commissioner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promote uniformity in state laws in subject areas in which uniformity is desirable and practicable;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attend national conference meetings.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20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329.006.</w:t>
      </w:r>
      <w:r xml:space="preserve">
        <w:t> </w:t>
      </w:r>
      <w:r xml:space="preserve">
        <w:t> </w:t>
      </w:r>
      <w:r>
        <w:t xml:space="preserve">VACANCY; EXPIRATION OF TERM.  (a)</w:t>
      </w:r>
      <w:r xml:space="preserve">
        <w:t> </w:t>
      </w:r>
      <w:r xml:space="preserve">
        <w:t> </w:t>
      </w:r>
      <w:r>
        <w:t xml:space="preserve">This section applies only to a commissioner appointed by the governor.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office of an appointed commissioner becomes vacant on the death, resignation, failure or refusal to serve, or removal of the commissioner.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governor shall fill a vacancy by appointing a person to the commission for the unexpired term of the commissioner vacating the office.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On the vacancy or expiration of the term of office of an appointed commissioner, the governor shall appoint a state judge or legal educator if the appointment is required by Section </w:t>
      </w:r>
      <w:r>
        <w:t xml:space="preserve">329.004</w:t>
      </w:r>
      <w:r>
        <w:t xml:space="preserve">(b) or (c).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21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329.007.</w:t>
      </w:r>
      <w:r xml:space="preserve">
        <w:t> </w:t>
      </w:r>
      <w:r xml:space="preserve">
        <w:t> </w:t>
      </w:r>
      <w:r>
        <w:t xml:space="preserve">GROUNDS FOR REMOVAL.  (a)</w:t>
      </w:r>
      <w:r xml:space="preserve">
        <w:t> </w:t>
      </w:r>
      <w:r xml:space="preserve">
        <w:t> </w:t>
      </w:r>
      <w:r>
        <w:t xml:space="preserve">It is a ground for removal from the commission if a member: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did not have, at the time of appointment or election, the qualifications required by Section </w:t>
      </w:r>
      <w:r>
        <w:t xml:space="preserve">329.004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does not maintain the qualifications required by Section </w:t>
      </w:r>
      <w:r>
        <w:t xml:space="preserve">329.004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 prohibited from serving as a commissioner under Section </w:t>
      </w:r>
      <w:r>
        <w:t xml:space="preserve">329.004</w:t>
      </w:r>
      <w:r>
        <w:t xml:space="preserve">(d);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is ineligible to participate in activities of the national conference.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validity of an action of the commission is not affected because it is taken when a member is subject to removal.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22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329.008.</w:t>
      </w:r>
      <w:r xml:space="preserve">
        <w:t> </w:t>
      </w:r>
      <w:r xml:space="preserve">
        <w:t> </w:t>
      </w:r>
      <w:r>
        <w:t xml:space="preserve">MEETING AND ELECTION OF OFFICERS.  (a)</w:t>
      </w:r>
      <w:r xml:space="preserve">
        <w:t> </w:t>
      </w:r>
      <w:r xml:space="preserve">
        <w:t> </w:t>
      </w:r>
      <w:r>
        <w:t xml:space="preserve">The commission shall meet at least once every two years.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shall elect a chair and secretary, who shall each hold office for a term of two years.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23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329.009.</w:t>
      </w:r>
      <w:r xml:space="preserve">
        <w:t> </w:t>
      </w:r>
      <w:r xml:space="preserve">
        <w:t> </w:t>
      </w:r>
      <w:r>
        <w:t xml:space="preserve">COMPENSATION.</w:t>
      </w:r>
      <w:r xml:space="preserve">
        <w:t> </w:t>
      </w:r>
      <w:r xml:space="preserve">
        <w:t> </w:t>
      </w:r>
      <w:r>
        <w:t xml:space="preserve">A commissioner serves without compensation but is entitled to be reimbursed for reasonable expenses incurred in the performance of the commissioner's duties.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24">
        <w:r>
          <w:rPr>
            <w:rStyle w:val="Hyperlink"/>
          </w:rPr>
          <w:t>4294</w:t>
        </w:r>
      </w:hyperlink>
      <w:r>
        <w:t xml:space="preserve">), Sec. 4, eff. June 18,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329.010.</w:t>
      </w:r>
      <w:r xml:space="preserve">
        <w:t> </w:t>
      </w:r>
      <w:r xml:space="preserve">
        <w:t> </w:t>
      </w:r>
      <w:r>
        <w:t xml:space="preserve">SUPPORT SERVICES.</w:t>
      </w:r>
      <w:r xml:space="preserve">
        <w:t> </w:t>
      </w:r>
      <w:r xml:space="preserve">
        <w:t> </w:t>
      </w:r>
      <w:r>
        <w:t xml:space="preserve">The Texas Legislative Council shall provide accounting, clerical, and other support services necessary for the commission to carry out its duties.</w:t>
      </w:r>
    </w:p>
    <w:p w:rsidR="003F3435" w:rsidRDefault="0032493E">
      <w:pPr>
        <w:spacing w:line="480" w:lineRule="auto"/>
        <w:jc w:val="both"/>
      </w:pPr>
      <w:r>
        <w:t xml:space="preserve">Added by Acts 1991, 72nd Leg., ch. 38, Sec. 1, eff. Sept. 1, 1991.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Government Code, Chapter 762 by Acts 2021, 87th Leg., R.S., Ch. 1042 (H.B. </w:t>
      </w:r>
      <w:hyperlink w:docLocation="table" r:id="rId25">
        <w:r>
          <w:rPr>
            <w:rStyle w:val="Hyperlink"/>
          </w:rPr>
          <w:t>4294</w:t>
        </w:r>
      </w:hyperlink>
      <w:r>
        <w:t xml:space="preserve">), Sec. 4, eff. June 18,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4294F.HTM" TargetMode="External" Id="rId14" /><Relationship Type="http://schemas.openxmlformats.org/officeDocument/2006/relationships/hyperlink" Target="http://capitol.texas.gov/tlodocs/87R/billtext/html/HB04294F.HTM" TargetMode="External" Id="rId15" /><Relationship Type="http://schemas.openxmlformats.org/officeDocument/2006/relationships/hyperlink" Target="http://capitol.texas.gov/tlodocs/76R/billtext/html/HB00510F.HTM" TargetMode="External" Id="rId16" /><Relationship Type="http://schemas.openxmlformats.org/officeDocument/2006/relationships/hyperlink" Target="http://capitol.texas.gov/tlodocs/77R/billtext/html/HB00808F.HTM" TargetMode="External" Id="rId17" /><Relationship Type="http://schemas.openxmlformats.org/officeDocument/2006/relationships/hyperlink" Target="http://capitol.texas.gov/tlodocs/87R/billtext/html/HB04294F.HTM" TargetMode="External" Id="rId18" /><Relationship Type="http://schemas.openxmlformats.org/officeDocument/2006/relationships/hyperlink" Target="http://capitol.texas.gov/tlodocs/87R/billtext/html/HB04294F.HTM" TargetMode="External" Id="rId19" /><Relationship Type="http://schemas.openxmlformats.org/officeDocument/2006/relationships/hyperlink" Target="http://capitol.texas.gov/tlodocs/87R/billtext/html/HB04294F.HTM" TargetMode="External" Id="rId20" /><Relationship Type="http://schemas.openxmlformats.org/officeDocument/2006/relationships/hyperlink" Target="http://capitol.texas.gov/tlodocs/87R/billtext/html/HB04294F.HTM" TargetMode="External" Id="rId21" /><Relationship Type="http://schemas.openxmlformats.org/officeDocument/2006/relationships/hyperlink" Target="http://capitol.texas.gov/tlodocs/87R/billtext/html/HB04294F.HTM" TargetMode="External" Id="rId22" /><Relationship Type="http://schemas.openxmlformats.org/officeDocument/2006/relationships/hyperlink" Target="http://capitol.texas.gov/tlodocs/87R/billtext/html/HB04294F.HTM" TargetMode="External" Id="rId23" /><Relationship Type="http://schemas.openxmlformats.org/officeDocument/2006/relationships/hyperlink" Target="http://capitol.texas.gov/tlodocs/87R/billtext/html/HB04294F.HTM" TargetMode="External" Id="rId24" /><Relationship Type="http://schemas.openxmlformats.org/officeDocument/2006/relationships/hyperlink" Target="http://capitol.texas.gov/tlodocs/87R/billtext/html/HB04294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