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2. JUDICIAL BRANCH</w:t>
      </w:r>
    </w:p>
    <w:p w:rsidR="003F3435" w:rsidRDefault="0032493E">
      <w:pPr>
        <w:spacing w:line="480" w:lineRule="auto"/>
        <w:jc w:val="center"/>
      </w:pPr>
      <w:r>
        <w:t xml:space="preserve">SUBTITLE B. JUDGES</w:t>
      </w:r>
    </w:p>
    <w:p w:rsidR="003F3435" w:rsidRDefault="0032493E">
      <w:pPr>
        <w:spacing w:line="480" w:lineRule="auto"/>
        <w:jc w:val="center"/>
      </w:pPr>
      <w:r>
        <w:t xml:space="preserve">CHAPTER 38. JUDICIAL DONATION TRUST FUNDS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38.001.</w:t>
      </w:r>
      <w:r xml:space="preserve">
        <w:t> </w:t>
      </w:r>
      <w:r xml:space="preserve">
        <w:t> </w:t>
      </w:r>
      <w:r>
        <w:t xml:space="preserve">ESTABLISHMENT OF TRUST FUNDS.  (a) The governing body of a municipality or the commissioners court of a county may establish a judicial donation trust fund as a separate account held outside the municipal or county treasury to be used in accordance with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governing body of a municipality or the commissioners court of a county may accept a gift, grant, donation, or other consideration from a public or private source that is designated for the judicial donation trust fund.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Money received under Subsection (b) shall be deposited in the judicial donation trust fund and may only be disbursed in accordance with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Interest and income from the assets of the judicial donation trust fund shall be credited to and deposited in the trust fund.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935 (H.B. </w:t>
      </w:r>
      <w:hyperlink w:docLocation="table" r:id="rId14">
        <w:r>
          <w:rPr>
            <w:rStyle w:val="Hyperlink"/>
          </w:rPr>
          <w:t>2398</w:t>
        </w:r>
      </w:hyperlink>
      <w:r>
        <w:t xml:space="preserve">), Sec. 31, eff. September 1, 2015.</w:t>
      </w:r>
    </w:p>
    <w:p w:rsidR="003F3435" w:rsidRDefault="0032493E">
      <w:pPr>
        <w:spacing w:line="480" w:lineRule="auto"/>
        <w:jc w:val="both"/>
      </w:pPr>
      <w:r>
        <w:t xml:space="preserve">Redesignated from Government Code, Section </w:t>
      </w:r>
      <w:r>
        <w:t xml:space="preserve">36.001</w:t>
      </w:r>
      <w:r>
        <w:t xml:space="preserve"> by Acts 2017, 85th Leg., R.S., Ch. 324 (S.B. </w:t>
      </w:r>
      <w:hyperlink w:docLocation="table" r:id="rId15">
        <w:r>
          <w:rPr>
            <w:rStyle w:val="Hyperlink"/>
          </w:rPr>
          <w:t>1488</w:t>
        </w:r>
      </w:hyperlink>
      <w:r>
        <w:t xml:space="preserve">), Sec. 24.001(10),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38.002.</w:t>
      </w:r>
      <w:r xml:space="preserve">
        <w:t> </w:t>
      </w:r>
      <w:r xml:space="preserve">
        <w:t> </w:t>
      </w:r>
      <w:r>
        <w:t xml:space="preserve">PROCEDURES AND ELIGIBILITY.</w:t>
      </w:r>
      <w:r xml:space="preserve">
        <w:t> </w:t>
      </w:r>
      <w:r xml:space="preserve">
        <w:t> </w:t>
      </w:r>
      <w:r>
        <w:t xml:space="preserve">The governing body of a municipality or the commissioners court of a county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adopt the procedures necessary to receive and disburse money from the judicial donation trust fund under this chapter;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establish eligibility requirements for disbursement of money under this chapter to assist needy children or families who appear before a county, justice, or municipal court for a criminal offense or truant conduct, as applicable, by providing money for resources and services that eliminate barriers to school attendance or that seek to prevent criminal behavior.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935 (H.B. </w:t>
      </w:r>
      <w:hyperlink w:docLocation="table" r:id="rId16">
        <w:r>
          <w:rPr>
            <w:rStyle w:val="Hyperlink"/>
          </w:rPr>
          <w:t>2398</w:t>
        </w:r>
      </w:hyperlink>
      <w:r>
        <w:t xml:space="preserve">), Sec. 31, eff. September 1, 2015.</w:t>
      </w:r>
    </w:p>
    <w:p w:rsidR="003F3435" w:rsidRDefault="0032493E">
      <w:pPr>
        <w:spacing w:line="480" w:lineRule="auto"/>
        <w:jc w:val="both"/>
      </w:pPr>
      <w:r>
        <w:t xml:space="preserve">Redesignated from Government Code, Section </w:t>
      </w:r>
      <w:r>
        <w:t xml:space="preserve">36.002</w:t>
      </w:r>
      <w:r>
        <w:t xml:space="preserve"> by Acts 2017, 85th Leg., R.S., Ch. 324 (S.B. </w:t>
      </w:r>
      <w:hyperlink w:docLocation="table" r:id="rId17">
        <w:r>
          <w:rPr>
            <w:rStyle w:val="Hyperlink"/>
          </w:rPr>
          <w:t>1488</w:t>
        </w:r>
      </w:hyperlink>
      <w:r>
        <w:t xml:space="preserve">), Sec. 24.001(10),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38.003.</w:t>
      </w:r>
      <w:r xml:space="preserve">
        <w:t> </w:t>
      </w:r>
      <w:r xml:space="preserve">
        <w:t> </w:t>
      </w:r>
      <w:r>
        <w:t xml:space="preserve">USE OF FUNDS IN ACCOUNT.  (a)</w:t>
      </w:r>
      <w:r xml:space="preserve">
        <w:t> </w:t>
      </w:r>
      <w:r xml:space="preserve">
        <w:t> </w:t>
      </w:r>
      <w:r>
        <w:t xml:space="preserve">The judge of a county, justice, or municipal court, in accordance with Section </w:t>
      </w:r>
      <w:r>
        <w:t xml:space="preserve">38.002</w:t>
      </w:r>
      <w:r>
        <w:t xml:space="preserve">, may award money from a judicial donation trust fund established under Section </w:t>
      </w:r>
      <w:r>
        <w:t xml:space="preserve">38.001</w:t>
      </w:r>
      <w:r>
        <w:t xml:space="preserve"> to eligible children or families who appear before the court for a truancy violation or in another misdemeanor offense proceeding before the court.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judge of a county, justice, or municipal court may order the municipal or county treasurer to issue payment from the judicial donation trust fund for money awarded under this section.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935 (H.B. </w:t>
      </w:r>
      <w:hyperlink w:docLocation="table" r:id="rId18">
        <w:r>
          <w:rPr>
            <w:rStyle w:val="Hyperlink"/>
          </w:rPr>
          <w:t>2398</w:t>
        </w:r>
      </w:hyperlink>
      <w:r>
        <w:t xml:space="preserve">), Sec. 31, eff. September 1, 2015.</w:t>
      </w:r>
    </w:p>
    <w:p w:rsidR="003F3435" w:rsidRDefault="0032493E">
      <w:pPr>
        <w:spacing w:line="480" w:lineRule="auto"/>
        <w:jc w:val="both"/>
      </w:pPr>
      <w:r>
        <w:t xml:space="preserve">Redesignated from Government Code, Section </w:t>
      </w:r>
      <w:r>
        <w:t xml:space="preserve">36.003</w:t>
      </w:r>
      <w:r>
        <w:t xml:space="preserve"> by Acts 2017, 85th Leg., R.S., Ch. 324 (S.B. </w:t>
      </w:r>
      <w:hyperlink w:docLocation="table" r:id="rId19">
        <w:r>
          <w:rPr>
            <w:rStyle w:val="Hyperlink"/>
          </w:rPr>
          <w:t>1488</w:t>
        </w:r>
      </w:hyperlink>
      <w:r>
        <w:t xml:space="preserve">), Sec. </w:t>
      </w:r>
      <w:r>
        <w:t xml:space="preserve">24.001</w:t>
      </w:r>
      <w:r>
        <w:t xml:space="preserve">(10), eff. September 1, 2017.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2017, 85th Leg., R.S., Ch. 324 (S.B. </w:t>
      </w:r>
      <w:hyperlink w:docLocation="table" r:id="rId20">
        <w:r>
          <w:rPr>
            <w:rStyle w:val="Hyperlink"/>
          </w:rPr>
          <w:t>1488</w:t>
        </w:r>
      </w:hyperlink>
      <w:r>
        <w:t xml:space="preserve">), Sec. 24.002(8), eff. September 1, 2017.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425 (H.B. </w:t>
      </w:r>
      <w:hyperlink w:docLocation="table" r:id="rId21">
        <w:r>
          <w:rPr>
            <w:rStyle w:val="Hyperlink"/>
          </w:rPr>
          <w:t>1819</w:t>
        </w:r>
      </w:hyperlink>
      <w:r>
        <w:t xml:space="preserve">), Sec. 4, eff.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HB02398F.HTM" TargetMode="External" Id="rId14" /><Relationship Type="http://schemas.openxmlformats.org/officeDocument/2006/relationships/hyperlink" Target="http://capitol.texas.gov/tlodocs/85R/billtext/html/SB01488F.HTM" TargetMode="External" Id="rId15" /><Relationship Type="http://schemas.openxmlformats.org/officeDocument/2006/relationships/hyperlink" Target="http://capitol.texas.gov/tlodocs/84R/billtext/html/HB02398F.HTM" TargetMode="External" Id="rId16" /><Relationship Type="http://schemas.openxmlformats.org/officeDocument/2006/relationships/hyperlink" Target="http://capitol.texas.gov/tlodocs/85R/billtext/html/SB01488F.HTM" TargetMode="External" Id="rId17" /><Relationship Type="http://schemas.openxmlformats.org/officeDocument/2006/relationships/hyperlink" Target="http://capitol.texas.gov/tlodocs/84R/billtext/html/HB02398F.HTM" TargetMode="External" Id="rId18" /><Relationship Type="http://schemas.openxmlformats.org/officeDocument/2006/relationships/hyperlink" Target="http://capitol.texas.gov/tlodocs/85R/billtext/html/SB01488F.HTM" TargetMode="External" Id="rId19" /><Relationship Type="http://schemas.openxmlformats.org/officeDocument/2006/relationships/hyperlink" Target="http://capitol.texas.gov/tlodocs/85R/billtext/html/SB01488F.HTM" TargetMode="External" Id="rId20" /><Relationship Type="http://schemas.openxmlformats.org/officeDocument/2006/relationships/hyperlink" Target="http://capitol.texas.gov/tlodocs/88R/billtext/html/HB01819F.HTM" TargetMode="External" Id="rId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