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4. EXECUTIVE BRANCH</w:t>
      </w:r>
    </w:p>
    <w:p w:rsidR="003F3435" w:rsidRDefault="0032493E">
      <w:pPr>
        <w:spacing w:line="480" w:lineRule="auto"/>
        <w:jc w:val="center"/>
      </w:pPr>
      <w:r>
        <w:t xml:space="preserve">SUBTITLE D. HISTORY, CULTURE, AND EDUCATION</w:t>
      </w:r>
    </w:p>
    <w:p w:rsidR="003F3435" w:rsidRDefault="0032493E">
      <w:pPr>
        <w:spacing w:line="480" w:lineRule="auto"/>
        <w:jc w:val="center"/>
      </w:pPr>
      <w:r>
        <w:t xml:space="preserve">CHAPTER 450.  EDUCATIONAL PROGRAMS TO ADVANCE THE TEACHING OF TEXAS HISTORY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450.001.</w:t>
      </w:r>
      <w:r xml:space="preserve">
        <w:t> </w:t>
      </w:r>
      <w:r xml:space="preserve">
        <w:t> </w:t>
      </w:r>
      <w:r>
        <w:t xml:space="preserve">APPLICABILITY OF CHAPTER.</w:t>
      </w:r>
      <w:r xml:space="preserve">
        <w:t> </w:t>
      </w:r>
      <w:r xml:space="preserve">
        <w:t> </w:t>
      </w:r>
      <w:r>
        <w:t xml:space="preserve">In this chapter "charitable historical organization" means an entity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organized as a nonprofit organization;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its main office at an institution of higher education, as that term is defined under Section </w:t>
      </w:r>
      <w:r>
        <w:t xml:space="preserve">61.003</w:t>
      </w:r>
      <w:r>
        <w:t xml:space="preserve">, Education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maintains an established educational department that provides: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opportunities for students in this state to study and work to preserve the history, heritage, and symbols of this state;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training and resources to assist educators in developing effective strategies to teach students about the heritage, history, and symbols of this state.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1015 (H.B. </w:t>
      </w:r>
      <w:hyperlink w:docLocation="table" r:id="rId14">
        <w:r>
          <w:rPr>
            <w:rStyle w:val="Hyperlink"/>
          </w:rPr>
          <w:t>2549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450.002.</w:t>
      </w:r>
      <w:r xml:space="preserve">
        <w:t> </w:t>
      </w:r>
      <w:r xml:space="preserve">
        <w:t> </w:t>
      </w:r>
      <w:r>
        <w:t xml:space="preserve">FUNDING.</w:t>
      </w:r>
      <w:r xml:space="preserve">
        <w:t> </w:t>
      </w:r>
      <w:r xml:space="preserve">
        <w:t> </w:t>
      </w:r>
      <w:r>
        <w:t xml:space="preserve">For the purposes of Subchapter </w:t>
      </w:r>
      <w:r>
        <w:t xml:space="preserve">I</w:t>
      </w:r>
      <w:r>
        <w:t xml:space="preserve">, Chapter </w:t>
      </w:r>
      <w:r>
        <w:t xml:space="preserve">659</w:t>
      </w:r>
      <w: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charitable historical organization is considered an eligible charitable organization entitled to participate in a state employee charitable campaign;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state employee is entitled to authorize a deduction for contributions to a charitable historical organization as a charitable contribution under Section </w:t>
      </w:r>
      <w:r>
        <w:t xml:space="preserve">659.132</w:t>
      </w:r>
      <w:r>
        <w:t xml:space="preserve">, and the organization may use the contributions for the purpose of administering and providing educational outreach programs established by the organization.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1015 (H.B. </w:t>
      </w:r>
      <w:hyperlink w:docLocation="table" r:id="rId15">
        <w:r>
          <w:rPr>
            <w:rStyle w:val="Hyperlink"/>
          </w:rPr>
          <w:t>2549</w:t>
        </w:r>
      </w:hyperlink>
      <w:r>
        <w:t xml:space="preserve">), Sec. 1, eff. September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549F.HTM" TargetMode="External" Id="rId14" /><Relationship Type="http://schemas.openxmlformats.org/officeDocument/2006/relationships/hyperlink" Target="http://capitol.texas.gov/tlodocs/82R/billtext/html/HB0254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