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GOVERNMENT CODE</w:t>
      </w:r>
    </w:p>
    <w:p w:rsidR="003F3435" w:rsidRDefault="0032493E">
      <w:pPr>
        <w:spacing w:line="480" w:lineRule="auto"/>
        <w:jc w:val="center"/>
      </w:pPr>
      <w:r>
        <w:t xml:space="preserve">TITLE 5. OPEN GOVERNMENT;  ETHICS</w:t>
      </w:r>
    </w:p>
    <w:p w:rsidR="003F3435" w:rsidRDefault="0032493E">
      <w:pPr>
        <w:spacing w:line="480" w:lineRule="auto"/>
        <w:jc w:val="center"/>
      </w:pPr>
      <w:r>
        <w:t xml:space="preserve">SUBTITLE B. ETHICS</w:t>
      </w:r>
    </w:p>
    <w:p w:rsidR="003F3435" w:rsidRDefault="0032493E">
      <w:pPr>
        <w:spacing w:line="480" w:lineRule="auto"/>
        <w:jc w:val="center"/>
      </w:pPr>
      <w:r>
        <w:t xml:space="preserve">CHAPTER 576.  PROHIBITION ON APPROPRIATION OF MONEY TO SETTLE OR PAY SEXUAL HARASSMENT CLAIMS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576.0001.</w:t>
      </w:r>
      <w:r xml:space="preserve">
        <w:t> </w:t>
      </w:r>
      <w:r xml:space="preserve">
        <w:t> </w:t>
      </w:r>
      <w:r>
        <w:t xml:space="preserve">PROHIBITION ON APPROPRIATION OF MONEY TO SETTLE OR PAY SEXUAL HARASSMENT CLAIMS.</w:t>
      </w:r>
      <w:r xml:space="preserve">
        <w:t> </w:t>
      </w:r>
      <w:r xml:space="preserve">
        <w:t> </w:t>
      </w:r>
      <w:r>
        <w:t xml:space="preserve">The legislature may not appropriate money and a state agency may not use appropriated money to settle or otherwise pay a sexual harassment claim made against a person who: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is an elected member of the executive, legislative, or judicial branch of state government;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is appointed by the governor to serve as a member of a department, commission, board, or other public office within the executive, legislative, or judicial branch of state government;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serves as staff for a person described by Subdivision (1) or (2).</w:t>
      </w:r>
    </w:p>
    <w:p w:rsidR="003F3435" w:rsidRDefault="0032493E">
      <w:pPr>
        <w:spacing w:line="480" w:lineRule="auto"/>
        <w:jc w:val="both"/>
      </w:pPr>
      <w:r>
        <w:t xml:space="preserve">Added by Acts 2021, 87th Leg., R.S., Ch. 551 (S.B. </w:t>
      </w:r>
      <w:hyperlink w:docLocation="table" r:id="rId14">
        <w:r>
          <w:rPr>
            <w:rStyle w:val="Hyperlink"/>
          </w:rPr>
          <w:t>282</w:t>
        </w:r>
      </w:hyperlink>
      <w:r>
        <w:t xml:space="preserve">), Sec. 1, eff. September 1, 2021.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7R/billtext/html/SB00282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