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6. PUBLIC OFFICERS AND EMPLOYEES</w:t>
      </w:r>
    </w:p>
    <w:p w:rsidR="003F3435" w:rsidRDefault="0032493E">
      <w:pPr>
        <w:spacing w:line="480" w:lineRule="auto"/>
        <w:jc w:val="center"/>
      </w:pPr>
      <w:r>
        <w:t xml:space="preserve">SUBTITLE A. PROVISIONS GENERALLY APPLICABLE TO PUBLIC OFFICERS AND EMPLOYEES</w:t>
      </w:r>
    </w:p>
    <w:p w:rsidR="003F3435" w:rsidRDefault="0032493E">
      <w:pPr>
        <w:spacing w:line="480" w:lineRule="auto"/>
        <w:jc w:val="center"/>
      </w:pPr>
      <w:r>
        <w:t xml:space="preserve">CHAPTER 602. ADMINISTRATION OF OATHS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602.001.</w:t>
      </w:r>
      <w:r xml:space="preserve">
        <w:t> </w:t>
      </w:r>
      <w:r xml:space="preserve">
        <w:t> </w:t>
      </w:r>
      <w:r>
        <w:t xml:space="preserve">DEFINITION.  In this chapter, "oath" includes the oath in an affidavit.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602.002.</w:t>
      </w:r>
      <w:r xml:space="preserve">
        <w:t> </w:t>
      </w:r>
      <w:r xml:space="preserve">
        <w:t> </w:t>
      </w:r>
      <w:r>
        <w:t xml:space="preserve">OATH MADE IN TEXAS.</w:t>
      </w:r>
      <w:r xml:space="preserve">
        <w:t> </w:t>
      </w:r>
      <w:r xml:space="preserve">
        <w:t> </w:t>
      </w:r>
      <w:r>
        <w:t xml:space="preserve">An oath made in this state may be administered and a certificate of the fact given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judge, retired judge, or clerk of a municipal court;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judge, retired judge, senior judge, clerk, or commissioner of a court of record;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justice of the peace, a retired justice of the peace, or a clerk of a justice court;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an associate judge, magistrate, master, referee, or criminal law hearing officer;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notary public;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member of a board or commission created by a law of this state, in a matter pertaining to a duty of the board or commission;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person employed by the Texas Ethics Commission who has a duty related to a report required by Title 15, Election Code, in a matter pertaining to that duty;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county tax assessor-collector or an employee of the county tax assessor-collector if the oath relates to a document that is required or authorized to be filed in the office of the county tax assessor-collector;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the secretary of state or a former secretary of 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an employee of a personal bond office, or an employee of a county, who is employed to obtain information required to be obtained under oath if the oath is required or authorized by Article 17.04 or by Article </w:t>
      </w:r>
      <w:r>
        <w:t xml:space="preserve">26.04</w:t>
      </w:r>
      <w:r>
        <w:t xml:space="preserve">(n) or (o), Code of Criminal Procedure;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the lieutenant governor or a former lieutenant governor;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the speaker of the house of representatives or a former speaker of the house of representatives;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the governor or a former governor;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a legislator or retired legislator;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(14-a)</w:t>
      </w:r>
      <w:r xml:space="preserve">
        <w:t> </w:t>
      </w:r>
      <w:r xml:space="preserve">
        <w:t> </w:t>
      </w:r>
      <w:r>
        <w:t xml:space="preserve">the secretary of the senate or the chief clerk of the house of representatives;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(15)</w:t>
      </w:r>
      <w:r xml:space="preserve">
        <w:t> </w:t>
      </w:r>
      <w:r xml:space="preserve">
        <w:t> </w:t>
      </w:r>
      <w:r>
        <w:t xml:space="preserve">the attorney general or a former attorney general;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(16)</w:t>
      </w:r>
      <w:r xml:space="preserve">
        <w:t> </w:t>
      </w:r>
      <w:r xml:space="preserve">
        <w:t> </w:t>
      </w:r>
      <w:r>
        <w:t xml:space="preserve">the comptroller of public accounts or a former comptroller of public accounts;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(17)</w:t>
      </w:r>
      <w:r xml:space="preserve">
        <w:t> </w:t>
      </w:r>
      <w:r xml:space="preserve">
        <w:t> </w:t>
      </w:r>
      <w:r>
        <w:t xml:space="preserve">the secretary or clerk of a municipality in a matter pertaining to the official business of the municipality;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(18)</w:t>
      </w:r>
      <w:r xml:space="preserve">
        <w:t> </w:t>
      </w:r>
      <w:r xml:space="preserve">
        <w:t> </w:t>
      </w:r>
      <w:r>
        <w:t xml:space="preserve">a peace officer described by Article </w:t>
      </w:r>
      <w:r>
        <w:t xml:space="preserve">2A.001</w:t>
      </w:r>
      <w:r>
        <w:t xml:space="preserve">, Code of Criminal Procedure, if: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oath is administered when the officer is engaged in the performance of the officer's duties;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administration of the oath relates to the officer's duties;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(19)</w:t>
      </w:r>
      <w:r xml:space="preserve">
        <w:t> </w:t>
      </w:r>
      <w:r xml:space="preserve">
        <w:t> </w:t>
      </w:r>
      <w:r>
        <w:t xml:space="preserve">a county treasurer.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  Amended by Acts 1995, 74th Leg., ch. 165, Sec. 19, eff. Sept. 1, 1995;  Acts 1999, 76th Leg., ch. 325, Sec. 1, eff. May 29, 1999;  Acts 1999, 76th Leg., ch. 638, Sec. 1, eff. Aug. 30, 1999;  Acts 1999, 76th Leg., ch. 653, Sec. 1, eff. June 18, 1999;  Acts 2001, 77th Leg., ch. 514, Sec. 1, eff. Sept. 1, 2001;  Acts 2001, 77th Leg., ch. 986, Sec. 1, eff. June 15, 2001;  Acts 2003, 78th Leg., ch. 568, Sec. 1, eff. June 20, 2003;  Acts 2003, 78th Leg., ch. 1171, Sec. 1, eff. June 20, 2003;  Acts 2003, 78th Leg., ch. 1276, Sec. 9.015, eff. Sept. 1, 2003.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372 (S.B. </w:t>
      </w:r>
      <w:hyperlink w:docLocation="table" r:id="rId14">
        <w:r>
          <w:rPr>
            <w:rStyle w:val="Hyperlink"/>
          </w:rPr>
          <w:t>397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907 (H.B. </w:t>
      </w:r>
      <w:hyperlink w:docLocation="table" r:id="rId15">
        <w:r>
          <w:rPr>
            <w:rStyle w:val="Hyperlink"/>
          </w:rPr>
          <w:t>1285</w:t>
        </w:r>
      </w:hyperlink>
      <w:r>
        <w:t xml:space="preserve">), Sec. 1, eff. June 19, 2009.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2011, 82nd Leg., 1st C.S., Ch. 3 (H.B. </w:t>
      </w:r>
      <w:hyperlink w:docLocation="table" r:id="rId16">
        <w:r>
          <w:rPr>
            <w:rStyle w:val="Hyperlink"/>
          </w:rPr>
          <w:t>79</w:t>
        </w:r>
      </w:hyperlink>
      <w:r>
        <w:t xml:space="preserve">), Sec. 6.05, eff. January 1, 2012.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66 (S.B. </w:t>
      </w:r>
      <w:hyperlink w:docLocation="table" r:id="rId17">
        <w:r>
          <w:rPr>
            <w:rStyle w:val="Hyperlink"/>
          </w:rPr>
          <w:t>435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1250 (H.B. </w:t>
      </w:r>
      <w:hyperlink w:docLocation="table" r:id="rId18">
        <w:r>
          <w:rPr>
            <w:rStyle w:val="Hyperlink"/>
          </w:rPr>
          <w:t>4181</w:t>
        </w:r>
      </w:hyperlink>
      <w:r>
        <w:t xml:space="preserve">), Sec. 30, eff. June 14, 2019.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765 (H.B. </w:t>
      </w:r>
      <w:hyperlink w:docLocation="table" r:id="rId19">
        <w:r>
          <w:rPr>
            <w:rStyle w:val="Hyperlink"/>
          </w:rPr>
          <w:t>4504</w:t>
        </w:r>
      </w:hyperlink>
      <w:r>
        <w:t xml:space="preserve">), Sec. 2.102, eff. January 1, 2025.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837 (H.B. </w:t>
      </w:r>
      <w:hyperlink w:docLocation="table" r:id="rId20">
        <w:r>
          <w:rPr>
            <w:rStyle w:val="Hyperlink"/>
          </w:rPr>
          <w:t>2559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861 (H.B. </w:t>
      </w:r>
      <w:hyperlink w:docLocation="table" r:id="rId21">
        <w:r>
          <w:rPr>
            <w:rStyle w:val="Hyperlink"/>
          </w:rPr>
          <w:t>3474</w:t>
        </w:r>
      </w:hyperlink>
      <w:r>
        <w:t xml:space="preserve">), Sec. 16.001,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602.003.</w:t>
      </w:r>
      <w:r xml:space="preserve">
        <w:t> </w:t>
      </w:r>
      <w:r xml:space="preserve">
        <w:t> </w:t>
      </w:r>
      <w:r>
        <w:t xml:space="preserve">OATH MADE OUTSIDE TEXAS BUT INSIDE UNITED STATES.  An oath made outside this state but inside the United States or its territories may be administered and a certificate of the fact given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clerk of a court of record having a seal;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commissioner of deeds appointed under a law of this state;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notary public.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602.004.</w:t>
      </w:r>
      <w:r xml:space="preserve">
        <w:t> </w:t>
      </w:r>
      <w:r xml:space="preserve">
        <w:t> </w:t>
      </w:r>
      <w:r>
        <w:t xml:space="preserve">OATH MADE OUTSIDE UNITED STATES.  An oath made outside the United States and its territories may be administered and a certificate of the fact given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minister, commissioner, or charge d'affaires of the United States who resides in and is accredited to the country where the oath or affidavit is made;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consul-general, consul, vice-consul, commercial agent, vice-commercial agent, deputy consul, or consular agent of the United States who resides in the country where the oath or affidavit is made;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notary public.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602.005.</w:t>
      </w:r>
      <w:r xml:space="preserve">
        <w:t> </w:t>
      </w:r>
      <w:r xml:space="preserve">
        <w:t> </w:t>
      </w:r>
      <w:r>
        <w:t xml:space="preserve">OATH MADE BY MEMBER OF ARMED FORCES OR BY MEMBER'S SPOUSE.  (a)  A commissioned officer of the United States armed forces or of a United States armed forces auxiliary may administer an oath made by a member of the armed forces, a member of an armed forces auxiliary, or a member's spouse and may give a certificate of the fact.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Unless there is pleading or evidence to the contrary, a certificate signed under this section that is offered in evidence establishes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commissioned officer who signed was a commissioned officer on the date the officer signed;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person who made the oath or affidavit was a member of the armed forces or an armed forces auxiliary or was a member's spouse when the oath was made.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oath is not invalid because the commissioned officer who certified the oath did not attach an official seal to the certificate.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602.006.</w:t>
      </w:r>
      <w:r xml:space="preserve">
        <w:t> </w:t>
      </w:r>
      <w:r xml:space="preserve">
        <w:t> </w:t>
      </w:r>
      <w:r>
        <w:t xml:space="preserve">OATH OF OFFICE.  An oath of office may be administered and a certificate of the fact given by a member of the legislature.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602.007.</w:t>
      </w:r>
      <w:r xml:space="preserve">
        <w:t> </w:t>
      </w:r>
      <w:r xml:space="preserve">
        <w:t> </w:t>
      </w:r>
      <w:r>
        <w:t xml:space="preserve">FILING OF OATH MADE BY CERTAIN JUDICIAL OFFICERS AND JUDICIAL APPOINTEES.</w:t>
      </w:r>
      <w:r xml:space="preserve">
        <w:t> </w:t>
      </w:r>
      <w:r xml:space="preserve">
        <w:t> </w:t>
      </w:r>
      <w:r>
        <w:t xml:space="preserve">The oath made and signed statement executed as required by Section </w:t>
      </w:r>
      <w:r>
        <w:t xml:space="preserve">1</w:t>
      </w:r>
      <w:r>
        <w:t xml:space="preserve">, Article XVI, Texas Constitution, by any of the following judicial officers and judicial appointees shall be filed with the secretary of state: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officer appointed by the supreme court, the court of criminal appeals, or the State Bar of Texas;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associate judge appointed under Subchapter </w:t>
      </w:r>
      <w:r>
        <w:t xml:space="preserve">B</w:t>
      </w:r>
      <w:r>
        <w:t xml:space="preserve"> or C, Chapter </w:t>
      </w:r>
      <w:r>
        <w:t xml:space="preserve">201</w:t>
      </w:r>
      <w:r>
        <w:t xml:space="preserve">, Family Code;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retired or former judge on the list maintained by the presiding judge of an administrative judicial region under Section </w:t>
      </w:r>
      <w:r>
        <w:t xml:space="preserve">74.055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912 (S.B. </w:t>
      </w:r>
      <w:hyperlink w:docLocation="table" r:id="rId22">
        <w:r>
          <w:rPr>
            <w:rStyle w:val="Hyperlink"/>
          </w:rPr>
          <w:t>1329</w:t>
        </w:r>
      </w:hyperlink>
      <w:r>
        <w:t xml:space="preserve">), Sec. 4.01, eff. September 1, 2017.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861 (H.B. </w:t>
      </w:r>
      <w:hyperlink w:docLocation="table" r:id="rId23">
        <w:r>
          <w:rPr>
            <w:rStyle w:val="Hyperlink"/>
          </w:rPr>
          <w:t>3474</w:t>
        </w:r>
      </w:hyperlink>
      <w:r>
        <w:t xml:space="preserve">), Sec. 5.008,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SB00397F.HTM" TargetMode="External" Id="rId14" /><Relationship Type="http://schemas.openxmlformats.org/officeDocument/2006/relationships/hyperlink" Target="http://capitol.texas.gov/tlodocs/81R/billtext/html/HB01285F.HTM" TargetMode="External" Id="rId15" /><Relationship Type="http://schemas.openxmlformats.org/officeDocument/2006/relationships/hyperlink" Target="http://capitol.texas.gov/tlodocs/821/billtext/html/HB00079F.HTM" TargetMode="External" Id="rId16" /><Relationship Type="http://schemas.openxmlformats.org/officeDocument/2006/relationships/hyperlink" Target="http://capitol.texas.gov/tlodocs/84R/billtext/html/SB00435F.HTM" TargetMode="External" Id="rId17" /><Relationship Type="http://schemas.openxmlformats.org/officeDocument/2006/relationships/hyperlink" Target="http://capitol.texas.gov/tlodocs/86R/billtext/html/HB04181F.HTM" TargetMode="External" Id="rId18" /><Relationship Type="http://schemas.openxmlformats.org/officeDocument/2006/relationships/hyperlink" Target="http://capitol.texas.gov/tlodocs/88R/billtext/html/HB04504F.HTM" TargetMode="External" Id="rId19" /><Relationship Type="http://schemas.openxmlformats.org/officeDocument/2006/relationships/hyperlink" Target="http://capitol.texas.gov/tlodocs/88R/billtext/html/HB02559F.HTM" TargetMode="External" Id="rId20" /><Relationship Type="http://schemas.openxmlformats.org/officeDocument/2006/relationships/hyperlink" Target="http://capitol.texas.gov/tlodocs/88R/billtext/html/HB03474F.HTM" TargetMode="External" Id="rId21" /><Relationship Type="http://schemas.openxmlformats.org/officeDocument/2006/relationships/hyperlink" Target="http://capitol.texas.gov/tlodocs/85R/billtext/html/SB01329F.HTM" TargetMode="External" Id="rId22" /><Relationship Type="http://schemas.openxmlformats.org/officeDocument/2006/relationships/hyperlink" Target="http://capitol.texas.gov/tlodocs/88R/billtext/html/HB03474F.HTM" TargetMode="External" Id="rId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