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668. MEMBERSHIP DUES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668.001.</w:t>
      </w:r>
      <w:r xml:space="preserve">
        <w:t> </w:t>
      </w:r>
      <w:r xml:space="preserve">
        <w:t> </w:t>
      </w:r>
      <w:r>
        <w:t xml:space="preserve">DEFINITION.  In this chapter, "state agency" has the meaning assigned by Section </w:t>
      </w:r>
      <w:r>
        <w:t xml:space="preserve">572.002</w:t>
      </w:r>
      <w:r>
        <w:t xml:space="preserve"> except that the term does not include a river authority.</w:t>
      </w:r>
    </w:p>
    <w:p w:rsidR="003F3435" w:rsidRDefault="0032493E">
      <w:pPr>
        <w:spacing w:line="480" w:lineRule="auto"/>
        <w:jc w:val="both"/>
      </w:pPr>
      <w:r>
        <w:t xml:space="preserve">Added by Acts 1999, 76th Leg., ch. 1178, Sec. 2, eff. Sept. 1, 1999.  Renumbered from Government Code Sec. 666.001 by Acts 2001, 77th Leg., ch. 1420, Sec. 21.001(60),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