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7. INTERGOVERNMENTAL RELATIONS</w:t>
      </w:r>
    </w:p>
    <w:p w:rsidR="003F3435" w:rsidRDefault="0032493E">
      <w:pPr>
        <w:spacing w:line="480" w:lineRule="auto"/>
        <w:jc w:val="center"/>
      </w:pPr>
      <w:r>
        <w:t xml:space="preserve">CHAPTER 763. AGREEMENTS BETWEEN BORDER MUNICIPALITIES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763.001.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"Adjoining municipality" means a municipality in an adjoining state that is contiguous to a border municipality.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"Border municipality" means a municipality in this state that borders the state line and that is separated from a municipality in an adjoining state only by the state line.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763.002.</w:t>
      </w:r>
      <w:r xml:space="preserve">
        <w:t> </w:t>
      </w:r>
      <w:r xml:space="preserve">
        <w:t> </w:t>
      </w:r>
      <w:r>
        <w:t xml:space="preserve">AGREEMENT BETWEEN MUNICIPALITIES.  A border municipality may agree with an adjoining municipality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furnish to, or receive from, the adjoining municipality services or facilities;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jointly or cooperatively furnish a governmental service or facility;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exercise any authority of the border municipality, to the extent that the adjoining municipality may cooperate or act jointly.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763.003.</w:t>
      </w:r>
      <w:r xml:space="preserve">
        <w:t> </w:t>
      </w:r>
      <w:r xml:space="preserve">
        <w:t> </w:t>
      </w:r>
      <w:r>
        <w:t xml:space="preserve">TERMS OF AGREEMENT OR CONTRACT.  (a)  An agreement or contract authorized by this chapter must specify: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purpose and duration of the agreement or contract;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manner of financing the joint or cooperative undertaking and of establishing and maintaining a budget for the undertaking;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any financial arrangement under the agreement or contract in which one municipality agrees to furnish specified services or facilities to another municipality;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precise organization, composition, nature, and powers of any separate legal or administrative entity created under the agreement or contract;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appropriate methods of enforcement;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method for terminating the agreement or contract, in whole or in part, and for disposing of property on termination;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any other necessary and proper matters.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separate legal or administrative entity may not be created under an agreement or contract authorized by this chapter if the creation of the entity violates any 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agreement between the municipalities does not establish a separate entity to conduct the joint or cooperative undertaking, the agreement must provide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administrator or joint board to administer the undertaking;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manner of acquiring, holding, and disposing of any property used in the undertaking.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If the agreement provides for a joint board, each municipality that is a party to the agreement must be represented.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763.004.</w:t>
      </w:r>
      <w:r xml:space="preserve">
        <w:t> </w:t>
      </w:r>
      <w:r xml:space="preserve">
        <w:t> </w:t>
      </w:r>
      <w:r>
        <w:t xml:space="preserve">PERFORMANCE OF PUBLIC AGENCY OBLIGATION.  (a)  An agreement under this chapter does not relieve a public agency of any legal obligation.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Actual and timely performance of a legal obligation of a public agency by an adjoining municipality or an entity created by an agreement or contract under this chapter may be offered in satisfaction of the obligation.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763.005.</w:t>
      </w:r>
      <w:r xml:space="preserve">
        <w:t> </w:t>
      </w:r>
      <w:r xml:space="preserve">
        <w:t> </w:t>
      </w:r>
      <w:r>
        <w:t xml:space="preserve">FILING WITH COUNTY REQUIRED.  An agreement under this chapter is not effective until a copy of the agreement is filed with the county clerk of the county in which the border municipality is located.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