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the law codified as Section </w:t>
      </w:r>
      <w:r>
        <w:t xml:space="preserve">323.007</w:t>
      </w:r>
      <w:r>
        <w:t xml:space="preserve">, Government Code.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law encompassed by this code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Chapter </w:t>
      </w:r>
      <w:r>
        <w:t xml:space="preserve">311</w:t>
      </w:r>
      <w:r>
        <w:t xml:space="preserve">, Government Code (Code Construction Act), applies to the construction of each provision in this code except as otherwise expressly provided by this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INTERNAL REFERENCES.  In this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this code;  and</w:t>
      </w:r>
    </w:p>
    <w:p w:rsidR="003F3435" w:rsidRDefault="0032493E">
      <w:pPr>
        <w:spacing w:line="480" w:lineRule="auto"/>
        <w:ind w:firstLine="1440"/>
        <w:jc w:val="both"/>
      </w:pPr>
      <w:r>
        <w:t xml:space="preserve">(2)</w:t>
      </w:r>
      <w:r xml:space="preserve">
        <w:t> </w:t>
      </w:r>
      <w:r xml:space="preserve">
        <w:t> </w:t>
      </w:r>
      <w:r>
        <w:t xml:space="preserve">a reference to a subtitle, subchapter, subsection, subdivision, paragraph, or other numbered or lettered unit without further identification is a reference to a unit of the next larger unit of this code in which the reference appears.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1.004.</w:t>
      </w:r>
      <w:r xml:space="preserve">
        <w:t> </w:t>
      </w:r>
      <w:r xml:space="preserve">
        <w:t> </w:t>
      </w:r>
      <w:r>
        <w:t xml:space="preserve">REFERENCE IN LAW TO STATUTE REVISED BY CODE.  A reference in a law to a statute or a part of a statute revised by this code is considered to be a reference to the part of this code that revises that statute or part of the statute.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1.005.</w:t>
      </w:r>
      <w:r xml:space="preserve">
        <w:t> </w:t>
      </w:r>
      <w:r xml:space="preserve">
        <w:t> </w:t>
      </w:r>
      <w:r>
        <w:t xml:space="preserve">PREEMPTION.  (a)</w:t>
      </w:r>
      <w:r xml:space="preserve">
        <w:t> </w:t>
      </w:r>
      <w:r xml:space="preserve">
        <w:t> </w:t>
      </w:r>
      <w:r>
        <w:t xml:space="preserve">Unless expressly authorized by another statute, a municipality or county may not adopt, enforce, or maintain an ordinance, order, or rule regulating conduct in a field of regulation that is occupied by a provision of this code.</w:t>
      </w:r>
      <w:r xml:space="preserve">
        <w:t> </w:t>
      </w:r>
      <w:r xml:space="preserve">
        <w:t> </w:t>
      </w:r>
      <w:r>
        <w:t xml:space="preserve">An ordinance, order, or rule that violates this section is void, unenforceable, and inconsistent with this code.</w:t>
      </w:r>
    </w:p>
    <w:p w:rsidR="003F3435" w:rsidRDefault="0032493E">
      <w:pPr>
        <w:spacing w:line="480" w:lineRule="auto"/>
        <w:ind w:firstLine="720"/>
        <w:jc w:val="both"/>
      </w:pPr>
      <w:r>
        <w:t xml:space="preserve">(b)</w:t>
      </w:r>
      <w:r xml:space="preserve">
        <w:t> </w:t>
      </w:r>
      <w:r xml:space="preserve">
        <w:t> </w:t>
      </w:r>
      <w:r>
        <w:t xml:space="preserve">For purposes of Subsection (a), a field occupied by a provision of this code includes employment leave, hiring practices, breaks, employment benefits, scheduling practices, and any other terms of employment that exceed or conflict with federal or state law for employers other than a municipality or county.</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10,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