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LABOR CODE</w:t>
      </w:r>
    </w:p>
    <w:p w:rsidR="003F3435" w:rsidRDefault="0032493E">
      <w:pPr>
        <w:spacing w:line="480" w:lineRule="auto"/>
        <w:jc w:val="center"/>
      </w:pPr>
      <w:r>
        <w:t xml:space="preserve">TITLE 3. EMPLOYER-EMPLOYEE RELATIONS</w:t>
      </w:r>
    </w:p>
    <w:p w:rsidR="003F3435" w:rsidRDefault="0032493E">
      <w:pPr>
        <w:spacing w:line="480" w:lineRule="auto"/>
        <w:jc w:val="center"/>
      </w:pPr>
      <w:r>
        <w:t xml:space="preserve">CHAPTER 104.  INFORMATION REGARDING EARNED INCOME TAX CREDIT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104.001.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"Employee" means an individual who is employed by an employer for compensation.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"Employer" means a person who employs one or more employees.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1300 (H.B. </w:t>
      </w:r>
      <w:hyperlink w:docLocation="table" r:id="rId14">
        <w:r>
          <w:rPr>
            <w:rStyle w:val="Hyperlink"/>
          </w:rPr>
          <w:t>2360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104.002.</w:t>
      </w:r>
      <w:r xml:space="preserve">
        <w:t> </w:t>
      </w:r>
      <w:r xml:space="preserve">
        <w:t> </w:t>
      </w:r>
      <w:r>
        <w:t xml:space="preserve">REQUIRED INFORMATION.  (a)  Not later than March 1 of each year, each employer shall provide to the employer's employees information regarding general eligibility requirements for the federal earned income tax credit.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employer may not satisfy the requirements of Subsection (a) solely by posting information in the place of employment.</w:t>
      </w:r>
      <w:r xml:space="preserve">
        <w:t> </w:t>
      </w:r>
      <w:r xml:space="preserve">
        <w:t> </w:t>
      </w:r>
      <w:r>
        <w:t xml:space="preserve">The employer shall provide the required information to the employee: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 person;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electronically at the employee's last known e-mail address;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through a flyer included, in writing or electronically, as a payroll stuffer;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by mailing the information to the employee at the employee's last known address by United States first class mail.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1300 (H.B. </w:t>
      </w:r>
      <w:hyperlink w:docLocation="table" r:id="rId15">
        <w:r>
          <w:rPr>
            <w:rStyle w:val="Hyperlink"/>
          </w:rPr>
          <w:t>2360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104.003.</w:t>
      </w:r>
      <w:r xml:space="preserve">
        <w:t> </w:t>
      </w:r>
      <w:r xml:space="preserve">
        <w:t> </w:t>
      </w:r>
      <w:r>
        <w:t xml:space="preserve">PROVISION OF ADDITIONAL INFORMATION TO EMPLOYEES.In addition to the information required by Section </w:t>
      </w:r>
      <w:r>
        <w:t xml:space="preserve">104.002</w:t>
      </w:r>
      <w:r>
        <w:t xml:space="preserve">, an employer may provide to the employer's employees: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Internal Revenue Service publications relating to the federal earned income tax credit or information prepared by the comptroller under Section </w:t>
      </w:r>
      <w:r>
        <w:t xml:space="preserve">403.025</w:t>
      </w:r>
      <w:r>
        <w:t xml:space="preserve">, Government Code, relating to that credit;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federal income tax forms necessary to claim the federal earned income tax credit.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1300 (H.B. </w:t>
      </w:r>
      <w:hyperlink w:docLocation="table" r:id="rId16">
        <w:r>
          <w:rPr>
            <w:rStyle w:val="Hyperlink"/>
          </w:rPr>
          <w:t>2360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104.004.</w:t>
      </w:r>
      <w:r xml:space="preserve">
        <w:t> </w:t>
      </w:r>
      <w:r xml:space="preserve">
        <w:t> </w:t>
      </w:r>
      <w:r>
        <w:t xml:space="preserve">COMMISSION DUTIES; RULES.  (a)  The commission periodically shall notify employers regarding the requirement adopted under Section </w:t>
      </w:r>
      <w:r>
        <w:t xml:space="preserve">104.002</w:t>
      </w:r>
      <w:r>
        <w:t xml:space="preserve">.</w:t>
      </w:r>
      <w:r xml:space="preserve">
        <w:t> </w:t>
      </w:r>
      <w:r xml:space="preserve">
        <w:t> </w:t>
      </w:r>
      <w:r>
        <w:t xml:space="preserve">The commission shall provide the notice as part of any other periodic notice sent to employers and shall also post the notice on the commission's Internet website.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the commission adopts rules under Section </w:t>
      </w:r>
      <w:r>
        <w:t xml:space="preserve">301.067</w:t>
      </w:r>
      <w:r>
        <w:t xml:space="preserve"> regarding employer requirements under this chapter, each employer shall provide the information required by Section </w:t>
      </w:r>
      <w:r>
        <w:t xml:space="preserve">104.002</w:t>
      </w:r>
      <w:r>
        <w:t xml:space="preserve"> in the manner prescribed by those rules.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1300 (H.B. </w:t>
      </w:r>
      <w:hyperlink w:docLocation="table" r:id="rId17">
        <w:r>
          <w:rPr>
            <w:rStyle w:val="Hyperlink"/>
          </w:rPr>
          <w:t>2360</w:t>
        </w:r>
      </w:hyperlink>
      <w:r>
        <w:t xml:space="preserve">), Sec. 1,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2360F.HTM" TargetMode="External" Id="rId14" /><Relationship Type="http://schemas.openxmlformats.org/officeDocument/2006/relationships/hyperlink" Target="http://capitol.texas.gov/tlodocs/81R/billtext/html/HB02360F.HTM" TargetMode="External" Id="rId15" /><Relationship Type="http://schemas.openxmlformats.org/officeDocument/2006/relationships/hyperlink" Target="http://capitol.texas.gov/tlodocs/81R/billtext/html/HB02360F.HTM" TargetMode="External" Id="rId16" /><Relationship Type="http://schemas.openxmlformats.org/officeDocument/2006/relationships/hyperlink" Target="http://capitol.texas.gov/tlodocs/81R/billtext/html/HB02360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