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4. EMPLOYMENT SERVICES AND UNEMPLOYMENT</w:t>
      </w:r>
    </w:p>
    <w:p w:rsidR="003F3435" w:rsidRDefault="0032493E">
      <w:pPr>
        <w:spacing w:line="480" w:lineRule="auto"/>
        <w:jc w:val="center"/>
      </w:pPr>
      <w:r>
        <w:t xml:space="preserve">SUBTITLE B. TEXAS WORKFORCE COMMISSION;  WORKFORCE DEVELOPMENT;  EMPLOYMENT SERVICES</w:t>
      </w:r>
    </w:p>
    <w:p w:rsidR="003F3435" w:rsidRDefault="0032493E">
      <w:pPr>
        <w:spacing w:line="480" w:lineRule="auto"/>
        <w:jc w:val="center"/>
      </w:pPr>
      <w:r>
        <w:t xml:space="preserve">CHAPTER 314.  TEXAS BACK TO WORK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314.001.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"qualified applicant" means a person who made less than $40 per hour at the person's last employment before becoming unemployed.</w:t>
      </w:r>
    </w:p>
    <w:p w:rsidR="003F3435" w:rsidRDefault="0032493E">
      <w:pPr>
        <w:spacing w:line="480" w:lineRule="auto"/>
        <w:jc w:val="both"/>
      </w:pPr>
      <w:r>
        <w:t xml:space="preserve">Added by Acts 2011, 82nd Leg., 1st C.S., Ch. 4 (S.B. </w:t>
      </w:r>
      <w:hyperlink w:docLocation="table" r:id="rId14">
        <w:r>
          <w:rPr>
            <w:rStyle w:val="Hyperlink"/>
          </w:rPr>
          <w:t>1</w:t>
        </w:r>
      </w:hyperlink>
      <w:r>
        <w:t xml:space="preserve">), Sec. 35.02, eff. September 28,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314.002.</w:t>
      </w:r>
      <w:r xml:space="preserve">
        <w:t> </w:t>
      </w:r>
      <w:r xml:space="preserve">
        <w:t> </w:t>
      </w:r>
      <w:r>
        <w:t xml:space="preserve">INITIATIVE ESTABLISHED.  (a)</w:t>
      </w:r>
      <w:r xml:space="preserve">
        <w:t> </w:t>
      </w:r>
      <w:r xml:space="preserve">
        <w:t> </w:t>
      </w:r>
      <w:r>
        <w:t xml:space="preserve">The Texas Back to Work Program is established within the commission.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purpose of the program is to establish public-private partnerships with employers to transition residents of this state from receiving unemployment compensation to becoming employed as members of the workforce.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employer that participates in the initiative may receive a wage subsidy for hiring one or more qualified applicants who are unemployed at the time of hire.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commission, for the purposes of this section, may use: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money appropriated to the commission;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money that is transferred to the commission from trusteed programs within the office of the governor,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appropriated money from the Texas Enterprise Fund;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available federal funds;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money from other appropriate, statutorily authorized funding sources.</w:t>
      </w:r>
    </w:p>
    <w:p w:rsidR="003F3435" w:rsidRDefault="0032493E">
      <w:pPr>
        <w:spacing w:line="480" w:lineRule="auto"/>
        <w:jc w:val="both"/>
      </w:pPr>
      <w:r>
        <w:t xml:space="preserve">Added by Acts 2011, 82nd Leg., 1st C.S., Ch. 4 (S.B. </w:t>
      </w:r>
      <w:hyperlink w:docLocation="table" r:id="rId15">
        <w:r>
          <w:rPr>
            <w:rStyle w:val="Hyperlink"/>
          </w:rPr>
          <w:t>1</w:t>
        </w:r>
      </w:hyperlink>
      <w:r>
        <w:t xml:space="preserve">), Sec. 35.02, eff. September 28,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314.003.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commission may adopt rules as necessary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2011, 82nd Leg., 1st C.S., Ch. 4 (S.B. </w:t>
      </w:r>
      <w:hyperlink w:docLocation="table" r:id="rId16">
        <w:r>
          <w:rPr>
            <w:rStyle w:val="Hyperlink"/>
          </w:rPr>
          <w:t>1</w:t>
        </w:r>
      </w:hyperlink>
      <w:r>
        <w:t xml:space="preserve">), Sec. 35.02, eff. September 28,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1/billtext/html/SB00001F.HTM" TargetMode="External" Id="rId14" /><Relationship Type="http://schemas.openxmlformats.org/officeDocument/2006/relationships/hyperlink" Target="http://capitol.texas.gov/tlodocs/821/billtext/html/SB00001F.HTM" TargetMode="External" Id="rId15" /><Relationship Type="http://schemas.openxmlformats.org/officeDocument/2006/relationships/hyperlink" Target="http://capitol.texas.gov/tlodocs/821/billtext/html/SB00001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