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LABOR CODE</w:t>
      </w:r>
    </w:p>
    <w:p w:rsidR="003F3435" w:rsidRDefault="0032493E">
      <w:pPr>
        <w:spacing w:line="480" w:lineRule="auto"/>
        <w:jc w:val="center"/>
      </w:pPr>
      <w:r>
        <w:t xml:space="preserve">TITLE 5. WORKERS' COMPENSATION</w:t>
      </w:r>
    </w:p>
    <w:p w:rsidR="003F3435" w:rsidRDefault="0032493E">
      <w:pPr>
        <w:spacing w:line="480" w:lineRule="auto"/>
        <w:jc w:val="center"/>
      </w:pPr>
      <w:r>
        <w:t xml:space="preserve">SUBTITLE B. DISCRIMINATION ISSUES</w:t>
      </w:r>
    </w:p>
    <w:p w:rsidR="003F3435" w:rsidRDefault="0032493E">
      <w:pPr>
        <w:spacing w:line="480" w:lineRule="auto"/>
        <w:jc w:val="center"/>
      </w:pPr>
      <w:r>
        <w:t xml:space="preserve">CHAPTER 451. DISCRIMINATION PROHIBITED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451.001.</w:t>
      </w:r>
      <w:r xml:space="preserve">
        <w:t> </w:t>
      </w:r>
      <w:r xml:space="preserve">
        <w:t> </w:t>
      </w:r>
      <w:r>
        <w:t xml:space="preserve">DISCRIMINATION AGAINST EMPLOYEES PROHIBITED.  A person may not discharge or in any other manner discriminate against an employee because the employee has: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filed a workers' compensation claim in good faith;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hired a lawyer to represent the employee in a claim;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instituted or caused to be instituted in good faith a proceeding under Subtitle A; 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testified or is about to testify in a proceeding under Subtitle A.</w:t>
      </w:r>
    </w:p>
    <w:p w:rsidR="003F3435" w:rsidRDefault="0032493E">
      <w:pPr>
        <w:spacing w:line="480" w:lineRule="auto"/>
        <w:jc w:val="both"/>
      </w:pPr>
      <w:r>
        <w:t xml:space="preserve">Acts 1993, 73rd Leg., ch. 269,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451.002.</w:t>
      </w:r>
      <w:r xml:space="preserve">
        <w:t> </w:t>
      </w:r>
      <w:r xml:space="preserve">
        <w:t> </w:t>
      </w:r>
      <w:r>
        <w:t xml:space="preserve">REMEDIES;  BURDEN OF PROOF.  (a)  A person who violates Section </w:t>
      </w:r>
      <w:r>
        <w:t xml:space="preserve">451.001</w:t>
      </w:r>
      <w:r>
        <w:t xml:space="preserve"> is liable for reasonable damages incurred by the employee as a result of the violation.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employee discharged in violation of Section </w:t>
      </w:r>
      <w:r>
        <w:t xml:space="preserve">451.001</w:t>
      </w:r>
      <w:r>
        <w:t xml:space="preserve"> is entitled to reinstatement in the former position of employment.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burden of proof in a proceeding under this section is on the employee.</w:t>
      </w:r>
    </w:p>
    <w:p w:rsidR="003F3435" w:rsidRDefault="0032493E">
      <w:pPr>
        <w:spacing w:line="480" w:lineRule="auto"/>
        <w:jc w:val="both"/>
      </w:pPr>
      <w:r>
        <w:t xml:space="preserve">Acts 1993, 73rd Leg., ch. 269,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451.0025.</w:t>
      </w:r>
      <w:r xml:space="preserve">
        <w:t> </w:t>
      </w:r>
      <w:r xml:space="preserve">
        <w:t> </w:t>
      </w:r>
      <w:r>
        <w:t xml:space="preserve">WAIVER OF IMMUNITY; PERMISSION FOR FIRST RESPONDER TO SUE.  (a)</w:t>
      </w:r>
      <w:r xml:space="preserve">
        <w:t> </w:t>
      </w:r>
      <w:r xml:space="preserve">
        <w:t> </w:t>
      </w:r>
      <w:r>
        <w:t xml:space="preserve">In this section, "first responder" has the meaning assigned by Section </w:t>
      </w:r>
      <w:r>
        <w:t xml:space="preserve">421.095</w:t>
      </w:r>
      <w:r>
        <w:t xml:space="preserve">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first responder who alleges a violation of Section </w:t>
      </w:r>
      <w:r>
        <w:t xml:space="preserve">451.001</w:t>
      </w:r>
      <w:r>
        <w:t xml:space="preserve"> by a state or local governmental entity that employs the first responder may sue the governmental entity for the relief provided by this chapter.</w:t>
      </w:r>
      <w:r xml:space="preserve">
        <w:t> </w:t>
      </w:r>
      <w:r xml:space="preserve">
        <w:t> </w:t>
      </w:r>
      <w:r>
        <w:t xml:space="preserve">Sovereign or governmental immunity from suit is waived and abolished to the extent of liability created by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To the extent a person has official or individual immunity from a claim for damages, this section does not affect that immunity.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810 (H.B. </w:t>
      </w:r>
      <w:hyperlink w:docLocation="table" r:id="rId14">
        <w:r>
          <w:rPr>
            <w:rStyle w:val="Hyperlink"/>
          </w:rPr>
          <w:t>451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451.003.</w:t>
      </w:r>
      <w:r xml:space="preserve">
        <w:t> </w:t>
      </w:r>
      <w:r xml:space="preserve">
        <w:t> </w:t>
      </w:r>
      <w:r>
        <w:t xml:space="preserve">INJUNCTION.  A district court may restrain, for cause shown, a violation of Section </w:t>
      </w:r>
      <w:r>
        <w:t xml:space="preserve">451.001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1993, 73rd Leg., ch. 269, Sec. 1, eff. Sept. 1, 1993.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0451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