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Section </w:t>
      </w:r>
      <w:r>
        <w:t xml:space="preserve">323.007</w:t>
      </w:r>
      <w:r>
        <w:t xml:space="preserve">,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Chapter </w:t>
      </w:r>
      <w:r>
        <w:t xml:space="preserve">311</w:t>
      </w:r>
      <w:r>
        <w:t xml:space="preserve">, Government Code (Code Construction Act), applies to the construction of each provision in this code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REFERENCE IN LAW TO STATUTE REVISED BY CODE.  A reference in a law to a statute or a part of a statute revised by this code is considered to be a reference to the part of this code that revises that statute or part of that statute.</w:t>
      </w:r>
    </w:p>
    <w:p w:rsidR="003F3435" w:rsidRDefault="0032493E">
      <w:pPr>
        <w:spacing w:line="480" w:lineRule="auto"/>
        <w:jc w:val="both"/>
      </w:pPr>
      <w:r>
        <w:t xml:space="preserve">Acts 1999, 76th Leg., ch. 388, Sec. 1, eff. Sept. 1, 1999.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1.004.</w:t>
      </w:r>
      <w:r xml:space="preserve">
        <w:t> </w:t>
      </w:r>
      <w:r xml:space="preserve">
        <w:t> </w:t>
      </w:r>
      <w:r>
        <w:t xml:space="preserve">PREEMPTION.  (a)</w:t>
      </w:r>
      <w:r xml:space="preserve">
        <w:t> </w:t>
      </w:r>
      <w:r xml:space="preserve">
        <w:t> </w:t>
      </w:r>
      <w:r>
        <w:t xml:space="preserve">Unless expressly authorized by another statute, a municipality or county may not adopt, enforce, or maintain an ordinance, order, or rule regulating conduct in a field of regulation that is occupied by a provision of this code.</w:t>
      </w:r>
      <w:r xml:space="preserve">
        <w:t> </w:t>
      </w:r>
      <w:r xml:space="preserve">
        <w:t> </w:t>
      </w:r>
      <w:r>
        <w:t xml:space="preserve">An ordinance, order, or rule that violates this section is void, unenforceable, and inconsistent with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may not be construed to affect municipal or county authority to regulate a massage establishment in accordance with Section </w:t>
      </w:r>
      <w:r>
        <w:t xml:space="preserve">455.005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899 (H.B. </w:t>
      </w:r>
      <w:hyperlink w:docLocation="table" r:id="rId14">
        <w:r>
          <w:rPr>
            <w:rStyle w:val="Hyperlink"/>
          </w:rPr>
          <w:t>2127</w:t>
        </w:r>
      </w:hyperlink>
      <w:r>
        <w:t xml:space="preserve">), Sec. 14,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2127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