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OCCUPATIONS CODE</w:t>
      </w:r>
    </w:p>
    <w:p w:rsidR="003F3435" w:rsidRDefault="0032493E">
      <w:pPr>
        <w:spacing w:line="480" w:lineRule="auto"/>
        <w:jc w:val="center"/>
      </w:pPr>
      <w:r>
        <w:t xml:space="preserve">TITLE 3. HEALTH PROFESSIONS</w:t>
      </w:r>
    </w:p>
    <w:p w:rsidR="003F3435" w:rsidRDefault="0032493E">
      <w:pPr>
        <w:spacing w:line="480" w:lineRule="auto"/>
        <w:jc w:val="center"/>
      </w:pPr>
      <w:r>
        <w:t xml:space="preserve">SUBTITLE A. PROVISIONS APPLYING TO HEALTH PROFESSIONS GENERALLY</w:t>
      </w:r>
    </w:p>
    <w:p w:rsidR="003F3435" w:rsidRDefault="0032493E">
      <w:pPr>
        <w:spacing w:line="480" w:lineRule="auto"/>
        <w:jc w:val="center"/>
      </w:pPr>
      <w:r>
        <w:t xml:space="preserve">CHAPTER 105. UNPROFESSIONAL CONDUCT BY HEALTH CARE PROVIDER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105.001.</w:t>
      </w:r>
      <w:r xml:space="preserve">
        <w:t> </w:t>
      </w:r>
      <w:r xml:space="preserve">
        <w:t> </w:t>
      </w:r>
      <w:r>
        <w:t xml:space="preserve">DEFINITION.  In this chapter, "health care provider" means a person who furnishes services under a license, certificate, registration, or other authority issued by this state or another state to diagnose, prevent, alleviate, or cure a human illness or injury.</w:t>
      </w:r>
    </w:p>
    <w:p w:rsidR="003F3435" w:rsidRDefault="0032493E">
      <w:pPr>
        <w:spacing w:line="480" w:lineRule="auto"/>
        <w:jc w:val="both"/>
      </w:pPr>
      <w:r>
        <w:t xml:space="preserve">Added by Acts 2001, 77th Leg., ch. 1033, Sec. 4, eff. Sept. 1, 2001.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105.002.</w:t>
      </w:r>
      <w:r xml:space="preserve">
        <w:t> </w:t>
      </w:r>
      <w:r xml:space="preserve">
        <w:t> </w:t>
      </w:r>
      <w:r>
        <w:t xml:space="preserve">UNPROFESSIONAL CONDUCT.  (a)  A health care provider commits unprofessional conduct if the health care provider, in connection with the provider's professional activities: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knowingly presents or causes to be presented a false or fraudulent claim for the payment of a loss under an insurance policy;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knowingly prepares, makes, or subscribes to any writing, with intent to present or use the writing, or to allow it to be presented or used, in support of a false or fraudulent claim under an insurance policy;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knowingly directs or requires a patient to obtain health care goods or services from a niche hospital in which the health care provider or an immediate family member of the provider has a financial interest, unless the provider: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discloses to the patient, in writing, that the provider or the provider's family member has a financial interest in the niche hospital;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informs the patient that the patient has the option of using an alternative health care facility.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In addition to other provisions of civil or criminal law, commission of unprofessional conduct under Subsection (a) constitutes cause for the revocation or suspension of a provider's license, permit, registration, certificate, or other authority or other disciplinary action.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Subsection (a)(3) does not apply to a financial interest in publicly available shares of a registered investment company, such as a mutual fund, that owns publicly traded equity securities or debt obligations issued by a niche hospital or an entity that owns the niche hospital.</w:t>
      </w:r>
    </w:p>
    <w:p w:rsidR="003F3435" w:rsidRDefault="0032493E">
      <w:pPr>
        <w:spacing w:line="480" w:lineRule="auto"/>
        <w:ind w:firstLine="72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In this section: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"Diagnosis-related group" means the classification system mandated by Medicare regulations for reimbursement purposes that groups patients according to principal diagnosis, presence of a surgical procedure, age, presence or absence of significant complications, and other relevant criteria.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"Niche hospital" means a hospital that: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classifies at least two-thirds of the hospital's Medicare patients or, if data is available, all patients:</w:t>
      </w:r>
    </w:p>
    <w:p w:rsidR="003F3435" w:rsidRDefault="0032493E">
      <w:pPr>
        <w:spacing w:line="480" w:lineRule="auto"/>
        <w:ind w:firstLine="2880"/>
        <w:jc w:val="both"/>
      </w:pPr>
      <w:r>
        <w:t xml:space="preserve">(i)</w:t>
      </w:r>
      <w:r xml:space="preserve">
        <w:t> </w:t>
      </w:r>
      <w:r xml:space="preserve">
        <w:t> </w:t>
      </w:r>
      <w:r>
        <w:t xml:space="preserve">in not more than two major diagnosis-related groups; or</w:t>
      </w:r>
    </w:p>
    <w:p w:rsidR="003F3435" w:rsidRDefault="0032493E">
      <w:pPr>
        <w:spacing w:line="480" w:lineRule="auto"/>
        <w:ind w:firstLine="2880"/>
        <w:jc w:val="both"/>
      </w:pPr>
      <w:r>
        <w:t xml:space="preserve">(ii)</w:t>
      </w:r>
      <w:r xml:space="preserve">
        <w:t> </w:t>
      </w:r>
      <w:r xml:space="preserve">
        <w:t> </w:t>
      </w:r>
      <w:r>
        <w:t xml:space="preserve">in surgical diagnosis-related groups;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specializes in one or more of the following areas:</w:t>
      </w:r>
    </w:p>
    <w:p w:rsidR="003F3435" w:rsidRDefault="0032493E">
      <w:pPr>
        <w:spacing w:line="480" w:lineRule="auto"/>
        <w:ind w:firstLine="2880"/>
        <w:jc w:val="both"/>
      </w:pPr>
      <w:r>
        <w:t xml:space="preserve">(i)</w:t>
      </w:r>
      <w:r xml:space="preserve">
        <w:t> </w:t>
      </w:r>
      <w:r xml:space="preserve">
        <w:t> </w:t>
      </w:r>
      <w:r>
        <w:t xml:space="preserve">cardiac;</w:t>
      </w:r>
    </w:p>
    <w:p w:rsidR="003F3435" w:rsidRDefault="0032493E">
      <w:pPr>
        <w:spacing w:line="480" w:lineRule="auto"/>
        <w:ind w:firstLine="2880"/>
        <w:jc w:val="both"/>
      </w:pPr>
      <w:r>
        <w:t xml:space="preserve">(ii)</w:t>
      </w:r>
      <w:r xml:space="preserve">
        <w:t> </w:t>
      </w:r>
      <w:r xml:space="preserve">
        <w:t> </w:t>
      </w:r>
      <w:r>
        <w:t xml:space="preserve">orthopedics;</w:t>
      </w:r>
    </w:p>
    <w:p w:rsidR="003F3435" w:rsidRDefault="0032493E">
      <w:pPr>
        <w:spacing w:line="480" w:lineRule="auto"/>
        <w:ind w:firstLine="2880"/>
        <w:jc w:val="both"/>
      </w:pPr>
      <w:r>
        <w:t xml:space="preserve">(iii)</w:t>
      </w:r>
      <w:r xml:space="preserve">
        <w:t> </w:t>
      </w:r>
      <w:r xml:space="preserve">
        <w:t> </w:t>
      </w:r>
      <w:r>
        <w:t xml:space="preserve">surgery; or</w:t>
      </w:r>
    </w:p>
    <w:p w:rsidR="003F3435" w:rsidRDefault="0032493E">
      <w:pPr>
        <w:spacing w:line="480" w:lineRule="auto"/>
        <w:ind w:firstLine="2880"/>
        <w:jc w:val="both"/>
      </w:pPr>
      <w:r>
        <w:t xml:space="preserve">(iv)</w:t>
      </w:r>
      <w:r xml:space="preserve">
        <w:t> </w:t>
      </w:r>
      <w:r xml:space="preserve">
        <w:t> </w:t>
      </w:r>
      <w:r>
        <w:t xml:space="preserve">women's health;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is not:</w:t>
      </w:r>
    </w:p>
    <w:p w:rsidR="003F3435" w:rsidRDefault="0032493E">
      <w:pPr>
        <w:spacing w:line="480" w:lineRule="auto"/>
        <w:ind w:firstLine="2880"/>
        <w:jc w:val="both"/>
      </w:pPr>
      <w:r>
        <w:t xml:space="preserve">(i)</w:t>
      </w:r>
      <w:r xml:space="preserve">
        <w:t> </w:t>
      </w:r>
      <w:r xml:space="preserve">
        <w:t> </w:t>
      </w:r>
      <w:r>
        <w:t xml:space="preserve">a public hospital;</w:t>
      </w:r>
    </w:p>
    <w:p w:rsidR="003F3435" w:rsidRDefault="0032493E">
      <w:pPr>
        <w:spacing w:line="480" w:lineRule="auto"/>
        <w:ind w:firstLine="2880"/>
        <w:jc w:val="both"/>
      </w:pPr>
      <w:r>
        <w:t xml:space="preserve">(ii)</w:t>
      </w:r>
      <w:r xml:space="preserve">
        <w:t> </w:t>
      </w:r>
      <w:r xml:space="preserve">
        <w:t> </w:t>
      </w:r>
      <w:r>
        <w:t xml:space="preserve">a hospital for which the majority of inpatient claims are for major diagnosis-related groups relating to rehabilitation, psychiatry, alcohol and drug treatment, or children or newborns; or</w:t>
      </w:r>
    </w:p>
    <w:p w:rsidR="003F3435" w:rsidRDefault="0032493E">
      <w:pPr>
        <w:spacing w:line="480" w:lineRule="auto"/>
        <w:ind w:firstLine="2880"/>
        <w:jc w:val="both"/>
      </w:pPr>
      <w:r>
        <w:t xml:space="preserve">(iii)</w:t>
      </w:r>
      <w:r xml:space="preserve">
        <w:t> </w:t>
      </w:r>
      <w:r xml:space="preserve">
        <w:t> </w:t>
      </w:r>
      <w:r>
        <w:t xml:space="preserve">a hospital with fewer than 10 claims per bed per year.</w:t>
      </w:r>
    </w:p>
    <w:p w:rsidR="003F3435" w:rsidRDefault="0032493E">
      <w:pPr>
        <w:spacing w:line="480" w:lineRule="auto"/>
        <w:jc w:val="both"/>
      </w:pPr>
      <w:r>
        <w:t xml:space="preserve">Added by Acts 2001, 77th Leg., ch. 1033, Sec. 4, eff. Sept. 1, 2001.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2005, 79th Leg., Ch. 836 (S.B. </w:t>
      </w:r>
      <w:hyperlink w:docLocation="table" r:id="rId14">
        <w:r>
          <w:rPr>
            <w:rStyle w:val="Hyperlink"/>
          </w:rPr>
          <w:t>872</w:t>
        </w:r>
      </w:hyperlink>
      <w:r>
        <w:t xml:space="preserve">), Sec. 1, eff. September 1, 2005.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79R/billtext/html/SB00872F.HTM" TargetMode="Externa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