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114.  REPORTING REQUIREMENTS APPLICABLE TO MULTIPLE HEALTH OCCUPATION REGULATORY AGENCIES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114.001</w:t>
      </w:r>
      <w:r>
        <w:t xml:space="preserve">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care practitioner" means an individual issued a license, certificate, registration, title, permit, or other authorization to engage in a health care profession.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"Health occupation regulatory agency" means a department, commission, board, office, authority, or other agency of the state that regulates a health care practitioner under this title.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512 (S.B. </w:t>
      </w:r>
      <w:hyperlink w:docLocation="table" r:id="rId14">
        <w:r>
          <w:rPr>
            <w:rStyle w:val="Hyperlink"/>
          </w:rPr>
          <w:t>1058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114.002</w:t>
      </w:r>
      <w:r>
        <w:t xml:space="preserve">.</w:t>
      </w:r>
      <w:r xml:space="preserve">
        <w:t> </w:t>
      </w:r>
      <w:r xml:space="preserve">
        <w:t> </w:t>
      </w:r>
      <w:r>
        <w:t xml:space="preserve">ANNUAL REPORT TO LEGISLATURE.  (a)  Not later than February 1 of each year, each health occupation regulatory agency shall file a report with the chairs of the house and senate committees with primary oversight over the agency that includes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number of persons regulated by the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number of persons who became subject to regulation by the agency in the previous year;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number of persons regulated by the agency by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description of any complaints reported to the agency or a description of the complaint categories used by the agency and the number of complaints in each category;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number of complaints investigated by the agency and a description of the final resolution of the complaints;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amount of fees collected by the agency each year;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expenses of the agency;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any unfunded needs of the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Health Professions Council shall adopt a standard format that must be used by health occupation regulatory agencies to report the information required under Subsection (a).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512 (S.B. </w:t>
      </w:r>
      <w:hyperlink w:docLocation="table" r:id="rId15">
        <w:r>
          <w:rPr>
            <w:rStyle w:val="Hyperlink"/>
          </w:rPr>
          <w:t>1058</w:t>
        </w:r>
      </w:hyperlink>
      <w:r>
        <w:t xml:space="preserve">), Sec. 1,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058F.HTM" TargetMode="External" Id="rId14" /><Relationship Type="http://schemas.openxmlformats.org/officeDocument/2006/relationships/hyperlink" Target="http://capitol.texas.gov/tlodocs/81R/billtext/html/SB01058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