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OCCUPATIONS CODE</w:t>
      </w:r>
    </w:p>
    <w:p w:rsidR="003F3435" w:rsidRDefault="0032493E">
      <w:pPr>
        <w:spacing w:line="480" w:lineRule="auto"/>
        <w:jc w:val="center"/>
      </w:pPr>
      <w:r>
        <w:t xml:space="preserve">TITLE 3. HEALTH PROFESSIONS</w:t>
      </w:r>
    </w:p>
    <w:p w:rsidR="003F3435" w:rsidRDefault="0032493E">
      <w:pPr>
        <w:spacing w:line="480" w:lineRule="auto"/>
        <w:jc w:val="center"/>
      </w:pPr>
      <w:r>
        <w:t xml:space="preserve">SUBTITLE A. PROVISIONS APPLYING TO HEALTH PROFESSIONS GENERALLY</w:t>
      </w:r>
    </w:p>
    <w:p w:rsidR="003F3435" w:rsidRDefault="0032493E">
      <w:pPr>
        <w:spacing w:line="480" w:lineRule="auto"/>
        <w:jc w:val="center"/>
      </w:pPr>
      <w:r>
        <w:t xml:space="preserve">CHAPTER 114.  REPORTING REQUIREMENTS APPLICABLE TO MULTIPLE HEALTH OCCUPATION REGULATORY AGENCIES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</w:t>
      </w:r>
      <w:r>
        <w:t xml:space="preserve">114.001</w:t>
      </w:r>
      <w:r>
        <w:t xml:space="preserve">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"Health care practitioner" means an individual issued a license, certificate, registration, title, permit, or other authorization to engage in a health care profession.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"Health occupation regulatory agency" means a department, commission, board, office, authority, or other agency of the state that regulates a health care practitioner under this title.</w:t>
      </w:r>
    </w:p>
    <w:p w:rsidR="003F3435" w:rsidRDefault="0032493E">
      <w:pPr>
        <w:spacing w:line="480" w:lineRule="auto"/>
        <w:jc w:val="both"/>
      </w:pPr>
      <w:r>
        <w:t xml:space="preserve">Added by Acts 2009, 81st Leg., R.S., Ch. 512 (S.B. </w:t>
      </w:r>
      <w:hyperlink w:docLocation="table" r:id="rId14">
        <w:r>
          <w:rPr>
            <w:rStyle w:val="Hyperlink"/>
          </w:rPr>
          <w:t>1058</w:t>
        </w:r>
      </w:hyperlink>
      <w:r>
        <w:t xml:space="preserve">), Sec. 1, eff. September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</w:t>
      </w:r>
      <w:r>
        <w:t xml:space="preserve">114.002</w:t>
      </w:r>
      <w:r>
        <w:t xml:space="preserve">.</w:t>
      </w:r>
      <w:r xml:space="preserve">
        <w:t> </w:t>
      </w:r>
      <w:r xml:space="preserve">
        <w:t> </w:t>
      </w:r>
      <w:r>
        <w:t xml:space="preserve">ANNUAL REPORT TO LEGISLATURE.  (a)  Not later than February 1 of each year, each health occupation regulatory agency shall file a report with the chairs of the house and senate committees with primary oversight over the agency that includes the following: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number of persons regulated by the agency;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number of persons who became subject to regulation by the agency in the previous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number of persons regulated by the agency by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description of any complaints reported to the agency or a description of the complaint categories used by the agency and the number of complaints in each category;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number of complaints investigated by the agency and a description of the final resolution of the complaints;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amount of fees collected by the agency each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expenses of the agency;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any unfunded needs of the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Health Professions Council shall adopt a standard format that must be used by health occupation regulatory agencies to report the information required under Subsection (a).</w:t>
      </w:r>
    </w:p>
    <w:p w:rsidR="003F3435" w:rsidRDefault="0032493E">
      <w:pPr>
        <w:spacing w:line="480" w:lineRule="auto"/>
        <w:jc w:val="both"/>
      </w:pPr>
      <w:r>
        <w:t xml:space="preserve">Added by Acts 2009, 81st Leg., R.S., Ch. 512 (S.B. </w:t>
      </w:r>
      <w:hyperlink w:docLocation="table" r:id="rId15">
        <w:r>
          <w:rPr>
            <w:rStyle w:val="Hyperlink"/>
          </w:rPr>
          <w:t>1058</w:t>
        </w:r>
      </w:hyperlink>
      <w:r>
        <w:t xml:space="preserve">), Sec. 1, eff. September 1, 2009.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1R/billtext/html/SB01058F.HTM" TargetMode="External" Id="rId14" /><Relationship Type="http://schemas.openxmlformats.org/officeDocument/2006/relationships/hyperlink" Target="http://www.legis.state.tx.us/tlodocs/81R/billtext/html/SB01058F.HTM" TargetMode="External" Id="rI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