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3. HEALTH PROFESSIONS</w:t>
      </w:r>
    </w:p>
    <w:p w:rsidR="003F3435" w:rsidRDefault="0032493E">
      <w:pPr>
        <w:spacing w:line="480" w:lineRule="auto"/>
        <w:jc w:val="center"/>
      </w:pPr>
      <w:r>
        <w:t xml:space="preserve">SUBTITLE B. PHYSICIANS</w:t>
      </w:r>
    </w:p>
    <w:p w:rsidR="003F3435" w:rsidRDefault="0032493E">
      <w:pPr>
        <w:spacing w:line="480" w:lineRule="auto"/>
        <w:jc w:val="center"/>
      </w:pPr>
      <w:r>
        <w:t xml:space="preserve">CHAPTER 166.  BILLING OF ANATOMIC PATHOLOGY SERVICES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166.001.</w:t>
      </w:r>
      <w:r xml:space="preserve">
        <w:t> </w:t>
      </w:r>
      <w:r xml:space="preserve">
        <w:t> </w:t>
      </w:r>
      <w:r>
        <w:t xml:space="preserve">DEFINITION.  In this chapter, "anatomic pathology services"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histopathology or surgical pathology, which is the gross and microscopic examination and histologic processing of organ tissue performed by a physician or under the supervision of a physician;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cytopathology, which is the microscopic examination of cells from the following: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fluids;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aspirates;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washings;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brushings;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smears, including a Pap smear, performed by a physician or under the supervision of a physician;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hematology, which is the microscopic evaluation of bone marrow aspirates and biopsies performed by a physician, or under the supervision of a physician, and peripheral blood smears when the attending or treating physician or technologist requests that a blood smear be reviewed by a pathologist;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sub-cellular pathology and molecular pathology;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blood-banking service performed by a pathologist.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144 (S.B. </w:t>
      </w:r>
      <w:hyperlink w:docLocation="table" r:id="rId14">
        <w:r>
          <w:rPr>
            <w:rStyle w:val="Hyperlink"/>
          </w:rPr>
          <w:t>1832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166.002.</w:t>
      </w:r>
      <w:r xml:space="preserve">
        <w:t> </w:t>
      </w:r>
      <w:r xml:space="preserve">
        <w:t> </w:t>
      </w:r>
      <w:r>
        <w:t xml:space="preserve">ANATOMIC PATHOLOGY BILLING.  Notwithstanding any other law, a person, including a physician and an entity, violates this subtitle and is subject to disciplinary action and penalties under this subtitle if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does not directly supervise or perform anatomic pathology services for a patient;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fails to disclose in the bill presented by the person to the patient or the insurer or other third party payor, or in an itemized statement to the patient: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name and address of the physician or laboratory that provided the anatomic pathology services;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net amount paid or to be paid for each anatomic pathology service provided to the patient by the physician or laboratory.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144 (S.B. </w:t>
      </w:r>
      <w:hyperlink w:docLocation="table" r:id="rId15">
        <w:r>
          <w:rPr>
            <w:rStyle w:val="Hyperlink"/>
          </w:rPr>
          <w:t>1832</w:t>
        </w:r>
      </w:hyperlink>
      <w:r>
        <w:t xml:space="preserve">), Sec. 1,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1832F.HTM" TargetMode="External" Id="rId14" /><Relationship Type="http://schemas.openxmlformats.org/officeDocument/2006/relationships/hyperlink" Target="http://capitol.texas.gov/tlodocs/80R/billtext/html/SB01832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