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13. SPORTS, AMUSEMENTS, AND ENTERTAINMENT</w:t>
      </w:r>
    </w:p>
    <w:p w:rsidR="003F3435" w:rsidRDefault="0032493E">
      <w:pPr>
        <w:spacing w:line="480" w:lineRule="auto"/>
        <w:jc w:val="center"/>
      </w:pPr>
      <w:r>
        <w:t xml:space="preserve">SUBTITLE C. ARTS AND MUSIC</w:t>
      </w:r>
    </w:p>
    <w:p w:rsidR="003F3435" w:rsidRDefault="0032493E">
      <w:pPr>
        <w:spacing w:line="480" w:lineRule="auto"/>
        <w:jc w:val="center"/>
      </w:pPr>
      <w:r>
        <w:t xml:space="preserve">CHAPTER 2101. CONSIGNMENT OF ART WORKS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2101.001.</w:t>
      </w:r>
      <w:r xml:space="preserve">
        <w:t> </w:t>
      </w:r>
      <w:r xml:space="preserve">
        <w:t> </w:t>
      </w:r>
      <w:r>
        <w:t xml:space="preserve">SHORT TITLE.  This chapter may be cited as the Artists' Consignment Act.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2101.002.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"Art" means a commonly recognized art form, including a painting, sound recording of a musical performance, sculpture, drawing, work of graphic art, pottery, weaving, batik, macrame, or quilt.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"Art dealer" means a person in the business of selling works of art.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"Artist" means the creator of a work of art or, if the creator is dead, the creator's estate.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"Creditor" has the meaning assigned by Section </w:t>
      </w:r>
      <w:r>
        <w:t xml:space="preserve">1.201</w:t>
      </w:r>
      <w:r>
        <w:t xml:space="preserve">, Business &amp; Commerce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"Person" means an individual, partnership, corporation, or association.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"Recording distributor" means a person who acquires a sound recording and sells the sound recording to another person for use or resale.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"Sound recording" means a tangible medium on which music or other sounds are recorded or otherwise stored, including a phonograph record, disc, tape, cassette, or other medium now existing or developed later on which music or other sounds are or can be recorded or otherwise stored or a copy or reproduction that duplicates in whole or in part the original.</w:t>
      </w:r>
      <w:r xml:space="preserve">
        <w:t> </w:t>
      </w:r>
      <w:r xml:space="preserve">
        <w:t> </w:t>
      </w:r>
      <w:r>
        <w:t xml:space="preserve">The term does not include a medium on which the primary recorded information is information other than music or other sound, such as a motion picture or computer program, and that contains recorded sound as an integrated part of the primary recorded information.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233 (S.B. </w:t>
      </w:r>
      <w:hyperlink w:docLocation="table" r:id="rId14">
        <w:r>
          <w:rPr>
            <w:rStyle w:val="Hyperlink"/>
          </w:rPr>
          <w:t>846</w:t>
        </w:r>
      </w:hyperlink>
      <w:r>
        <w:t xml:space="preserve">), Sec. 1, eff. May 27,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2101.003.</w:t>
      </w:r>
      <w:r xml:space="preserve">
        <w:t> </w:t>
      </w:r>
      <w:r xml:space="preserve">
        <w:t> </w:t>
      </w:r>
      <w:r>
        <w:t xml:space="preserve">CONSIGNED ART EXEMPT FROM CERTAIN LIENS OR CLAIMS.  (a)  Notwithstanding any provision of the Business &amp; Commerce Code, a work of art delivered to an art dealer for exhibition or sale and the proceeds from the dealer's sale of the work of art are not subject to a claim, lien, or security interest of a creditor of the dealer.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applies to the proceeds of a sale of a work of art regardless of whether the art dealer or another person purchased the work.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2101.004.</w:t>
      </w:r>
      <w:r xml:space="preserve">
        <w:t> </w:t>
      </w:r>
      <w:r xml:space="preserve">
        <w:t> </w:t>
      </w:r>
      <w:r>
        <w:t xml:space="preserve">CONSIGNED SOUND RECORDINGS EXEMPT FROM CERTAIN LIENS OR CLAIMS.  (a)  Notwithstanding any provision of the Business &amp; Commerce Code, a sound recording delivered by the artist who produced the music or other sound on the recording to a recording distributor for sale and the proceeds from the recording distributor's sale of the sound recording are not subject to a claim, lien, or security interest of a creditor of the recording distributor.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Subsection (c), this section applies to the proceeds of a sale of a sound recording regardless of whether the recording distributor or another person purchased the recording.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apply to the proceeds of a sale of a sound recording if the artist delivered the recording to the recording distributor pursuant to a sale for which the artist has been paid in full.</w:t>
      </w:r>
    </w:p>
    <w:p w:rsidR="003F3435" w:rsidRDefault="0032493E">
      <w:pPr>
        <w:spacing w:line="480" w:lineRule="auto"/>
        <w:jc w:val="both"/>
      </w:pPr>
      <w:r>
        <w:t xml:space="preserve">Added by Acts 2005, 79th Leg., Ch. 233 (S.B. </w:t>
      </w:r>
      <w:hyperlink w:docLocation="table" r:id="rId15">
        <w:r>
          <w:rPr>
            <w:rStyle w:val="Hyperlink"/>
          </w:rPr>
          <w:t>846</w:t>
        </w:r>
      </w:hyperlink>
      <w:r>
        <w:t xml:space="preserve">), Sec. 2, eff. May 27,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846F.HTM" TargetMode="External" Id="rId14" /><Relationship Type="http://schemas.openxmlformats.org/officeDocument/2006/relationships/hyperlink" Target="http://capitol.texas.gov/tlodocs/79R/billtext/html/SB0084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