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13. SPORTS, AMUSEMENTS, AND ENTERTAINMENT</w:t>
      </w:r>
    </w:p>
    <w:p w:rsidR="003F3435" w:rsidRDefault="0032493E">
      <w:pPr>
        <w:spacing w:line="480" w:lineRule="auto"/>
        <w:jc w:val="center"/>
      </w:pPr>
      <w:r>
        <w:t xml:space="preserve">SUBTITLE D. OTHER AMUSEMENTS AND ENTERTAINMENT</w:t>
      </w:r>
    </w:p>
    <w:p w:rsidR="003F3435" w:rsidRDefault="0032493E">
      <w:pPr>
        <w:spacing w:line="480" w:lineRule="auto"/>
        <w:jc w:val="center"/>
      </w:pPr>
      <w:r>
        <w:t xml:space="preserve">CHAPTER 2157. REGULATION OF MOTION PICTURE THEATERS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2157.001.</w:t>
      </w:r>
      <w:r xml:space="preserve">
        <w:t> </w:t>
      </w:r>
      <w:r xml:space="preserve">
        <w:t> </w:t>
      </w:r>
      <w:r>
        <w:t xml:space="preserve">INTERPRETATION OF CONTRACTS.  An agreement relating to the distribution of a film shown in any theater in this state or the licensing of a motion picture or film shown in any theater in this state is to be construed under state law.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2157.002.</w:t>
      </w:r>
      <w:r xml:space="preserve">
        <w:t> </w:t>
      </w:r>
      <w:r xml:space="preserve">
        <w:t> </w:t>
      </w:r>
      <w:r>
        <w:t xml:space="preserve">VENUE FOR CERTAIN SUITS.  (a)  Venue of a suit arising out of an agreement described by Section </w:t>
      </w:r>
      <w:r>
        <w:t xml:space="preserve">2157.001</w:t>
      </w:r>
      <w:r>
        <w:t xml:space="preserve"> is in the county in which: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film was licensed to be shown;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principal office of the exhibitor under the agreement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provision of the agreement attempting to establish venue in a place other than as provided by Subsection (a) is void.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2157.003.</w:t>
      </w:r>
      <w:r xml:space="preserve">
        <w:t> </w:t>
      </w:r>
      <w:r xml:space="preserve">
        <w:t> </w:t>
      </w:r>
      <w:r>
        <w:t xml:space="preserve">REPORTS ON THEATER ATTENDANCE.  (a)  A private or confidential investigator employed to determine the attendance at or the number of paid admissions for a motion picture theater performance shall furnish to the owner or general manager of the theater: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report of the investigator's findings on the day after the date of the determination;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written copy of the investigator's findings or report not later than the third day after the date of the determination.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an investigator does not comply with Subsection (a), evidence obtained by the investigator and the investigator's testimony is not admissible as evidence in any court or other proceeding.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